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775" w:rsidRPr="00336389" w:rsidRDefault="00AA0775" w:rsidP="00AA0775">
      <w:pPr>
        <w:rPr>
          <w:b/>
          <w:sz w:val="28"/>
          <w:szCs w:val="28"/>
        </w:rPr>
      </w:pPr>
      <w:r w:rsidRPr="00336389">
        <w:rPr>
          <w:b/>
          <w:sz w:val="28"/>
          <w:szCs w:val="28"/>
        </w:rPr>
        <w:t xml:space="preserve">Раздел </w:t>
      </w:r>
      <w:r w:rsidRPr="00336389">
        <w:rPr>
          <w:b/>
          <w:sz w:val="28"/>
          <w:szCs w:val="28"/>
          <w:lang w:val="en-US"/>
        </w:rPr>
        <w:t>III</w:t>
      </w:r>
      <w:r w:rsidRPr="00336389">
        <w:rPr>
          <w:b/>
          <w:sz w:val="28"/>
          <w:szCs w:val="28"/>
        </w:rPr>
        <w:t>. Анализ ситуации. Ключевые проблемы, требующие решения и их причины.</w:t>
      </w:r>
    </w:p>
    <w:p w:rsidR="00AA0775" w:rsidRDefault="00AA0775" w:rsidP="00AA0775">
      <w:pPr>
        <w:rPr>
          <w:b/>
        </w:rPr>
      </w:pPr>
    </w:p>
    <w:p w:rsidR="00AA0775" w:rsidRPr="00336389" w:rsidRDefault="00AA0775" w:rsidP="00AA0775">
      <w:pPr>
        <w:ind w:right="-365"/>
        <w:rPr>
          <w:b/>
          <w:sz w:val="28"/>
          <w:szCs w:val="28"/>
        </w:rPr>
      </w:pPr>
      <w:r w:rsidRPr="00336389">
        <w:rPr>
          <w:b/>
          <w:sz w:val="28"/>
          <w:szCs w:val="28"/>
        </w:rPr>
        <w:t>Сильные стороны образовательной деятельности школы</w:t>
      </w:r>
    </w:p>
    <w:p w:rsidR="00AA0775" w:rsidRDefault="00AA0775" w:rsidP="00AA0775">
      <w:pPr>
        <w:ind w:right="-365"/>
        <w:rPr>
          <w:b/>
        </w:rPr>
      </w:pPr>
      <w:r>
        <w:rPr>
          <w:b/>
          <w:lang w:val="en-US"/>
        </w:rPr>
        <w:t>I</w:t>
      </w:r>
      <w:r>
        <w:rPr>
          <w:b/>
        </w:rPr>
        <w:t>. По организации учебно-воспитательного процесса</w:t>
      </w:r>
    </w:p>
    <w:p w:rsidR="00AA0775" w:rsidRDefault="00AA0775" w:rsidP="00AA0775">
      <w:pPr>
        <w:ind w:right="-365"/>
        <w:jc w:val="both"/>
      </w:pPr>
      <w:r>
        <w:t xml:space="preserve">1. Все учащиеся в возрасте от 6,5 до 18 лет, проживающие в микрорайоне школы, охвачены организованным общим образованием. Все учащиеся, пришедшие в школу 9 лет назад, за исключением выбывших из школы по уважительной причине, получают аттестат об основном общем образовании. </w:t>
      </w:r>
      <w:proofErr w:type="gramStart"/>
      <w:r>
        <w:t>Школа стабильно организует: медицинское обслуживание, горячее питание, охват которого составляет 60% от общего числа учащихся.).</w:t>
      </w:r>
      <w:proofErr w:type="gramEnd"/>
    </w:p>
    <w:p w:rsidR="00AA0775" w:rsidRDefault="00AA0775" w:rsidP="00AA0775">
      <w:pPr>
        <w:ind w:right="-365"/>
        <w:jc w:val="both"/>
      </w:pPr>
      <w:r>
        <w:t>2. В школе, согласно нормативно-правовой базы, организовано регулярное психолого-педагогическое диагностирование учащихся, выявлен уровень профессиональной компетентности педагогических кадров, их способность к работе в рамках личностно-ориентированной парадигмы образования, положительный потенциал родителей, их возможность активно участвовать в образовательном процессе школы.</w:t>
      </w:r>
    </w:p>
    <w:p w:rsidR="00AA0775" w:rsidRDefault="00AA0775" w:rsidP="00AA0775">
      <w:pPr>
        <w:ind w:right="-365"/>
        <w:jc w:val="both"/>
      </w:pPr>
      <w:r>
        <w:t>3. В 2010 году школа успешно  прошла все процедуры лицензирования, аттестации, аккредитации. Замечаний и рекламации не было. Это свидетельствует о том, что в школе созданы все необходимые условия для качественного выполнения государственных стандартов образования: имеются рабочие учебные планы школы, предметные образовательные программы, авторские программы для проведения различных курсов.</w:t>
      </w:r>
    </w:p>
    <w:p w:rsidR="00AA0775" w:rsidRDefault="00AA0775" w:rsidP="00AA0775">
      <w:pPr>
        <w:ind w:right="-365"/>
        <w:jc w:val="both"/>
      </w:pPr>
      <w:r>
        <w:t>Для выполнения различных образовательных программ создано достаточное методическое обеспечение, позволяющее выполнять теоретические и практические составляющие данных программ, проводить постоянный мониторинг их выполнения.</w:t>
      </w:r>
    </w:p>
    <w:p w:rsidR="00AA0775" w:rsidRDefault="00AA0775" w:rsidP="00AA0775">
      <w:pPr>
        <w:ind w:right="-365"/>
        <w:jc w:val="both"/>
        <w:rPr>
          <w:b/>
        </w:rPr>
      </w:pPr>
      <w:r>
        <w:t>4. В школе работают кружки, секции, клубы по интересам, проводится учеба органов ученического самоуправления для учащихся, родительского актива. Открыты учебные кабинеты, мастерские, библиотека, компьютерный класс, спортивный зал для самостоятельной работы учащихся по углублению предметных знаний, умений и навыков.</w:t>
      </w:r>
    </w:p>
    <w:p w:rsidR="00AA0775" w:rsidRDefault="00AA0775" w:rsidP="00AA0775">
      <w:pPr>
        <w:rPr>
          <w:b/>
        </w:rPr>
      </w:pPr>
      <w:r>
        <w:rPr>
          <w:b/>
          <w:lang w:val="en-US"/>
        </w:rPr>
        <w:t>II</w:t>
      </w:r>
      <w:r>
        <w:rPr>
          <w:b/>
        </w:rPr>
        <w:t>. По организации и результативности экспериментальной и инновационной деятельности.</w:t>
      </w:r>
    </w:p>
    <w:p w:rsidR="00AA0775" w:rsidRDefault="00AA0775" w:rsidP="00AA0775">
      <w:pPr>
        <w:shd w:val="clear" w:color="auto" w:fill="FFFFFF"/>
        <w:autoSpaceDE w:val="0"/>
        <w:autoSpaceDN w:val="0"/>
        <w:adjustRightInd w:val="0"/>
        <w:jc w:val="both"/>
      </w:pPr>
      <w:r>
        <w:t>Сущность проблемы развивающего обучения коллектив школы понимает, прежде всего, как создание равных условий для развития каждого ученика на протяжении всего процесса непрерывного образования и организацию посильной для школьников познава</w:t>
      </w:r>
      <w:r>
        <w:softHyphen/>
        <w:t>тельной деятельности, учитывающей гармоничное развитие личности ученика. Для этого в школе создана структура развивающего обучения, предусматривающая доступность, от</w:t>
      </w:r>
      <w:r>
        <w:softHyphen/>
        <w:t>крытость, вариативность обучения на всех ступеньках образования.</w:t>
      </w:r>
    </w:p>
    <w:p w:rsidR="00AA0775" w:rsidRDefault="00AA0775" w:rsidP="00AA0775">
      <w:pPr>
        <w:shd w:val="clear" w:color="auto" w:fill="FFFFFF"/>
        <w:autoSpaceDE w:val="0"/>
        <w:autoSpaceDN w:val="0"/>
        <w:adjustRightInd w:val="0"/>
        <w:jc w:val="both"/>
      </w:pPr>
      <w:r>
        <w:t xml:space="preserve">        Обеспечивается право выбора одного из направлений, углубления в изучении от</w:t>
      </w:r>
      <w:r>
        <w:softHyphen/>
        <w:t>дельных предметов, переход из одного класса в другой, право на выбор профиля обучения в старших классах. Учащиеся не делятся по классам на основе уровня интеллектуального развития. Гуманистическая парадигма данной системы состоит, на наш взгляд, в том, что человеку как носителю природных ценностей дается возможность самореализации: школа предоставляет личности образовательные услуги, а личность выбирает собственную тра</w:t>
      </w:r>
      <w:r>
        <w:softHyphen/>
        <w:t>екторию образования.</w:t>
      </w:r>
    </w:p>
    <w:p w:rsidR="00AA0775" w:rsidRDefault="00AA0775" w:rsidP="00AA0775">
      <w:pPr>
        <w:shd w:val="clear" w:color="auto" w:fill="FFFFFF"/>
        <w:autoSpaceDE w:val="0"/>
        <w:autoSpaceDN w:val="0"/>
        <w:adjustRightInd w:val="0"/>
        <w:jc w:val="both"/>
      </w:pPr>
      <w:r>
        <w:t xml:space="preserve">              Содержание образования определяется государственными стандартами, с одной стороны, и включает многообразие форм, методов и средств организации учебно-воспитательного процесса, в том числе, и новых современных педагогических технологий, с другой.</w:t>
      </w:r>
    </w:p>
    <w:p w:rsidR="00AA0775" w:rsidRDefault="00AA0775" w:rsidP="00AA0775">
      <w:pPr>
        <w:shd w:val="clear" w:color="auto" w:fill="FFFFFF"/>
        <w:autoSpaceDE w:val="0"/>
        <w:autoSpaceDN w:val="0"/>
        <w:adjustRightInd w:val="0"/>
        <w:jc w:val="both"/>
      </w:pPr>
    </w:p>
    <w:p w:rsidR="00AA0775" w:rsidRDefault="00AA0775" w:rsidP="00AA0775">
      <w:pPr>
        <w:shd w:val="clear" w:color="auto" w:fill="FFFFFF"/>
        <w:autoSpaceDE w:val="0"/>
        <w:autoSpaceDN w:val="0"/>
        <w:adjustRightInd w:val="0"/>
        <w:jc w:val="both"/>
        <w:rPr>
          <w:b/>
        </w:rPr>
      </w:pPr>
      <w:proofErr w:type="gramStart"/>
      <w:r>
        <w:rPr>
          <w:b/>
          <w:lang w:val="en-US"/>
        </w:rPr>
        <w:t>I</w:t>
      </w:r>
      <w:r>
        <w:rPr>
          <w:b/>
        </w:rPr>
        <w:t>.          Начальный уровень образования.</w:t>
      </w:r>
      <w:proofErr w:type="gramEnd"/>
    </w:p>
    <w:p w:rsidR="00AA0775" w:rsidRDefault="00AA0775" w:rsidP="00AA0775">
      <w:pPr>
        <w:numPr>
          <w:ilvl w:val="0"/>
          <w:numId w:val="1"/>
        </w:numPr>
        <w:shd w:val="clear" w:color="auto" w:fill="FFFFFF"/>
        <w:autoSpaceDE w:val="0"/>
        <w:autoSpaceDN w:val="0"/>
        <w:adjustRightInd w:val="0"/>
        <w:ind w:left="0" w:firstLine="0"/>
        <w:jc w:val="both"/>
      </w:pPr>
      <w:r>
        <w:t xml:space="preserve">   Система развивающего обучения на основе внедрения интегрированных курсов «Окружающий мир» и «Закономерности окружающего мира»;</w:t>
      </w:r>
    </w:p>
    <w:p w:rsidR="00AA0775" w:rsidRDefault="00AA0775" w:rsidP="00AA0775">
      <w:pPr>
        <w:numPr>
          <w:ilvl w:val="0"/>
          <w:numId w:val="1"/>
        </w:numPr>
        <w:shd w:val="clear" w:color="auto" w:fill="FFFFFF"/>
        <w:autoSpaceDE w:val="0"/>
        <w:autoSpaceDN w:val="0"/>
        <w:adjustRightInd w:val="0"/>
        <w:ind w:left="0" w:firstLine="0"/>
        <w:jc w:val="both"/>
      </w:pPr>
      <w:r>
        <w:t xml:space="preserve">  Демократическая система </w:t>
      </w:r>
      <w:proofErr w:type="gramStart"/>
      <w:r>
        <w:t>обучения по способностям</w:t>
      </w:r>
      <w:proofErr w:type="gramEnd"/>
      <w:r>
        <w:t xml:space="preserve"> на основе организации коллективных учебных занятий в </w:t>
      </w:r>
      <w:proofErr w:type="spellStart"/>
      <w:r>
        <w:t>разноуровневых</w:t>
      </w:r>
      <w:proofErr w:type="spellEnd"/>
      <w:r>
        <w:t xml:space="preserve"> и разновозрастных груп</w:t>
      </w:r>
      <w:r>
        <w:softHyphen/>
        <w:t>пах.</w:t>
      </w:r>
    </w:p>
    <w:p w:rsidR="00AA0775" w:rsidRDefault="00AA0775" w:rsidP="00AA0775">
      <w:pPr>
        <w:numPr>
          <w:ilvl w:val="0"/>
          <w:numId w:val="1"/>
        </w:numPr>
        <w:shd w:val="clear" w:color="auto" w:fill="FFFFFF"/>
        <w:autoSpaceDE w:val="0"/>
        <w:autoSpaceDN w:val="0"/>
        <w:adjustRightInd w:val="0"/>
        <w:ind w:left="0" w:firstLine="0"/>
        <w:jc w:val="both"/>
      </w:pPr>
      <w:r>
        <w:lastRenderedPageBreak/>
        <w:t xml:space="preserve"> </w:t>
      </w:r>
      <w:proofErr w:type="spellStart"/>
      <w:r>
        <w:t>Пролицейские</w:t>
      </w:r>
      <w:proofErr w:type="spellEnd"/>
      <w:r>
        <w:t xml:space="preserve"> и лицейские классы</w:t>
      </w:r>
    </w:p>
    <w:p w:rsidR="00AA0775" w:rsidRDefault="00AA0775" w:rsidP="00AA0775">
      <w:pPr>
        <w:numPr>
          <w:ilvl w:val="0"/>
          <w:numId w:val="1"/>
        </w:numPr>
        <w:shd w:val="clear" w:color="auto" w:fill="FFFFFF"/>
        <w:autoSpaceDE w:val="0"/>
        <w:autoSpaceDN w:val="0"/>
        <w:adjustRightInd w:val="0"/>
        <w:ind w:left="0" w:firstLine="0"/>
        <w:jc w:val="both"/>
      </w:pPr>
      <w:r>
        <w:t xml:space="preserve"> Углубленное изучение  английского языка </w:t>
      </w:r>
    </w:p>
    <w:p w:rsidR="00AA0775" w:rsidRDefault="00AA0775" w:rsidP="00AA0775">
      <w:pPr>
        <w:shd w:val="clear" w:color="auto" w:fill="FFFFFF"/>
        <w:autoSpaceDE w:val="0"/>
        <w:autoSpaceDN w:val="0"/>
        <w:adjustRightInd w:val="0"/>
        <w:jc w:val="both"/>
      </w:pPr>
    </w:p>
    <w:p w:rsidR="00AA0775" w:rsidRDefault="00AA0775" w:rsidP="00AA0775">
      <w:pPr>
        <w:shd w:val="clear" w:color="auto" w:fill="FFFFFF"/>
        <w:autoSpaceDE w:val="0"/>
        <w:autoSpaceDN w:val="0"/>
        <w:adjustRightInd w:val="0"/>
        <w:jc w:val="both"/>
      </w:pPr>
    </w:p>
    <w:p w:rsidR="00AA0775" w:rsidRDefault="00AA0775" w:rsidP="00AA0775">
      <w:pPr>
        <w:numPr>
          <w:ilvl w:val="0"/>
          <w:numId w:val="2"/>
        </w:numPr>
        <w:shd w:val="clear" w:color="auto" w:fill="FFFFFF"/>
        <w:autoSpaceDE w:val="0"/>
        <w:autoSpaceDN w:val="0"/>
        <w:adjustRightInd w:val="0"/>
        <w:ind w:left="0" w:firstLine="0"/>
        <w:jc w:val="both"/>
        <w:rPr>
          <w:b/>
        </w:rPr>
      </w:pPr>
      <w:r>
        <w:rPr>
          <w:b/>
        </w:rPr>
        <w:t>Основной уровень образования.</w:t>
      </w:r>
    </w:p>
    <w:p w:rsidR="00AA0775" w:rsidRDefault="00AA0775" w:rsidP="00AA0775">
      <w:pPr>
        <w:numPr>
          <w:ilvl w:val="0"/>
          <w:numId w:val="1"/>
        </w:numPr>
        <w:shd w:val="clear" w:color="auto" w:fill="FFFFFF"/>
        <w:autoSpaceDE w:val="0"/>
        <w:autoSpaceDN w:val="0"/>
        <w:adjustRightInd w:val="0"/>
        <w:ind w:left="0" w:firstLine="0"/>
        <w:jc w:val="both"/>
      </w:pPr>
      <w:r>
        <w:t>Система развивающего обучения на основе внедрения интегрированных курсов «Окружающий мир» и «Закономерности окружающего мира»;</w:t>
      </w:r>
    </w:p>
    <w:p w:rsidR="00AA0775" w:rsidRDefault="00AA0775" w:rsidP="00AA0775">
      <w:pPr>
        <w:numPr>
          <w:ilvl w:val="1"/>
          <w:numId w:val="2"/>
        </w:numPr>
        <w:shd w:val="clear" w:color="auto" w:fill="FFFFFF"/>
        <w:tabs>
          <w:tab w:val="num" w:pos="360"/>
        </w:tabs>
        <w:autoSpaceDE w:val="0"/>
        <w:autoSpaceDN w:val="0"/>
        <w:adjustRightInd w:val="0"/>
        <w:ind w:left="0" w:firstLine="0"/>
        <w:jc w:val="both"/>
      </w:pPr>
      <w:r>
        <w:t xml:space="preserve">Демократическая система </w:t>
      </w:r>
      <w:proofErr w:type="gramStart"/>
      <w:r>
        <w:t>обучения по способностям</w:t>
      </w:r>
      <w:proofErr w:type="gramEnd"/>
      <w:r>
        <w:t xml:space="preserve"> на основе организации коллективных учебных занятий в </w:t>
      </w:r>
      <w:proofErr w:type="spellStart"/>
      <w:r>
        <w:t>разноуровневых</w:t>
      </w:r>
      <w:proofErr w:type="spellEnd"/>
      <w:r>
        <w:t xml:space="preserve"> и разновозрастных груп</w:t>
      </w:r>
      <w:r>
        <w:softHyphen/>
        <w:t>пах.</w:t>
      </w:r>
    </w:p>
    <w:p w:rsidR="00AA0775" w:rsidRDefault="00AA0775" w:rsidP="00AA0775">
      <w:pPr>
        <w:numPr>
          <w:ilvl w:val="1"/>
          <w:numId w:val="2"/>
        </w:numPr>
        <w:shd w:val="clear" w:color="auto" w:fill="FFFFFF"/>
        <w:tabs>
          <w:tab w:val="num" w:pos="360"/>
          <w:tab w:val="num" w:pos="540"/>
        </w:tabs>
        <w:autoSpaceDE w:val="0"/>
        <w:autoSpaceDN w:val="0"/>
        <w:adjustRightInd w:val="0"/>
        <w:ind w:left="0" w:firstLine="0"/>
        <w:jc w:val="both"/>
      </w:pPr>
      <w:r>
        <w:t>Лицейские классы</w:t>
      </w:r>
    </w:p>
    <w:p w:rsidR="00AA0775" w:rsidRDefault="00AA0775" w:rsidP="00AA0775">
      <w:pPr>
        <w:numPr>
          <w:ilvl w:val="1"/>
          <w:numId w:val="2"/>
        </w:numPr>
        <w:shd w:val="clear" w:color="auto" w:fill="FFFFFF"/>
        <w:tabs>
          <w:tab w:val="num" w:pos="360"/>
        </w:tabs>
        <w:autoSpaceDE w:val="0"/>
        <w:autoSpaceDN w:val="0"/>
        <w:adjustRightInd w:val="0"/>
        <w:ind w:left="0" w:firstLine="0"/>
        <w:jc w:val="both"/>
      </w:pPr>
      <w:r>
        <w:t xml:space="preserve">Углубленное изучение английского языка.  </w:t>
      </w:r>
    </w:p>
    <w:p w:rsidR="00AA0775" w:rsidRDefault="00AA0775" w:rsidP="00AA0775">
      <w:pPr>
        <w:numPr>
          <w:ilvl w:val="1"/>
          <w:numId w:val="2"/>
        </w:numPr>
        <w:shd w:val="clear" w:color="auto" w:fill="FFFFFF"/>
        <w:tabs>
          <w:tab w:val="num" w:pos="360"/>
        </w:tabs>
        <w:autoSpaceDE w:val="0"/>
        <w:autoSpaceDN w:val="0"/>
        <w:adjustRightInd w:val="0"/>
        <w:ind w:left="0" w:firstLine="0"/>
      </w:pPr>
      <w:r>
        <w:t xml:space="preserve">Пропедевтика   </w:t>
      </w:r>
      <w:proofErr w:type="spellStart"/>
      <w:r>
        <w:t>полиязычного</w:t>
      </w:r>
      <w:proofErr w:type="spellEnd"/>
      <w:r>
        <w:t xml:space="preserve"> образования на основе внедрения программ факультативных курсов, таких как «Трудные случаи русской орфографии», « Язык и жизнь», «</w:t>
      </w:r>
      <w:proofErr w:type="spellStart"/>
      <w:r>
        <w:t>Абаеведение</w:t>
      </w:r>
      <w:proofErr w:type="spellEnd"/>
      <w:r>
        <w:t>»,  курсы по развитию речи на казахском языке.</w:t>
      </w:r>
    </w:p>
    <w:p w:rsidR="00AA0775" w:rsidRDefault="00AA0775" w:rsidP="00AA0775">
      <w:pPr>
        <w:numPr>
          <w:ilvl w:val="0"/>
          <w:numId w:val="2"/>
        </w:numPr>
        <w:shd w:val="clear" w:color="auto" w:fill="FFFFFF"/>
        <w:autoSpaceDE w:val="0"/>
        <w:autoSpaceDN w:val="0"/>
        <w:adjustRightInd w:val="0"/>
        <w:jc w:val="both"/>
        <w:rPr>
          <w:b/>
        </w:rPr>
      </w:pPr>
      <w:r>
        <w:rPr>
          <w:b/>
        </w:rPr>
        <w:t>Общий средний уровень образования.</w:t>
      </w:r>
    </w:p>
    <w:p w:rsidR="00AA0775" w:rsidRDefault="00AA0775" w:rsidP="00AA0775">
      <w:pPr>
        <w:numPr>
          <w:ilvl w:val="0"/>
          <w:numId w:val="3"/>
        </w:numPr>
        <w:shd w:val="clear" w:color="auto" w:fill="FFFFFF"/>
        <w:autoSpaceDE w:val="0"/>
        <w:autoSpaceDN w:val="0"/>
        <w:adjustRightInd w:val="0"/>
        <w:jc w:val="both"/>
      </w:pPr>
      <w:r>
        <w:t xml:space="preserve">  Профильное      обучение      по        естественно-математическому и общественно-гуманитарному направлениям.</w:t>
      </w:r>
    </w:p>
    <w:p w:rsidR="00AA0775" w:rsidRDefault="00AA0775" w:rsidP="00AA0775">
      <w:pPr>
        <w:numPr>
          <w:ilvl w:val="0"/>
          <w:numId w:val="4"/>
        </w:numPr>
        <w:shd w:val="clear" w:color="auto" w:fill="FFFFFF"/>
        <w:autoSpaceDE w:val="0"/>
        <w:autoSpaceDN w:val="0"/>
        <w:adjustRightInd w:val="0"/>
        <w:jc w:val="both"/>
      </w:pPr>
      <w:r>
        <w:t>Углубленное изучение математики</w:t>
      </w:r>
    </w:p>
    <w:p w:rsidR="00AA0775" w:rsidRDefault="00AA0775" w:rsidP="00AA0775">
      <w:pPr>
        <w:jc w:val="both"/>
      </w:pPr>
      <w:r>
        <w:t xml:space="preserve">                 Школа может гордиться результатами опытно-экспериментальной работы. За период 2007-2013 годы школа наработала значительный опыт по внедрению модели начального и основного уровня 12-тилетней школы.  В 2013 -14  учебном году будет продолжена экспериментальная деятельность по апробации структуры и содержания 12-тилетнего обучения. (Описание инновационных процессов см. выше).</w:t>
      </w:r>
    </w:p>
    <w:p w:rsidR="00AA0775" w:rsidRDefault="00AA0775" w:rsidP="00AA0775">
      <w:pPr>
        <w:shd w:val="clear" w:color="auto" w:fill="FFFFFF"/>
        <w:autoSpaceDE w:val="0"/>
        <w:autoSpaceDN w:val="0"/>
        <w:adjustRightInd w:val="0"/>
        <w:jc w:val="center"/>
        <w:rPr>
          <w:b/>
          <w:lang w:val="kk-KZ"/>
        </w:rPr>
      </w:pPr>
    </w:p>
    <w:p w:rsidR="00AA0775" w:rsidRDefault="00AA0775" w:rsidP="00AA0775">
      <w:pPr>
        <w:rPr>
          <w:b/>
        </w:rPr>
      </w:pPr>
      <w:r>
        <w:rPr>
          <w:b/>
          <w:lang w:val="en-US"/>
        </w:rPr>
        <w:t>III</w:t>
      </w:r>
      <w:r>
        <w:rPr>
          <w:b/>
        </w:rPr>
        <w:t>. По уровню ресурсного обеспечения.</w:t>
      </w:r>
    </w:p>
    <w:p w:rsidR="00AA0775" w:rsidRDefault="00AA0775" w:rsidP="00AA0775">
      <w:pPr>
        <w:numPr>
          <w:ilvl w:val="0"/>
          <w:numId w:val="5"/>
        </w:numPr>
        <w:ind w:left="0" w:firstLine="0"/>
        <w:jc w:val="both"/>
        <w:rPr>
          <w:b/>
          <w:i/>
        </w:rPr>
      </w:pPr>
      <w:r>
        <w:rPr>
          <w:b/>
          <w:i/>
        </w:rPr>
        <w:t>Кадровое обеспечение.</w:t>
      </w:r>
    </w:p>
    <w:p w:rsidR="00AA0775" w:rsidRDefault="00AA0775" w:rsidP="00AA0775">
      <w:pPr>
        <w:jc w:val="both"/>
      </w:pPr>
      <w:r>
        <w:t xml:space="preserve">Школа полностью укомплектована руководящими и педагогическими кадрами, вспомогательным педагогическим персоналом, обеспечивающими стабильное функционирование и развитие данного образовательного учреждения. Опытно-экспериментальная работа, проводимая в школе, сплотила педагогический коллектив, создала устойчивую внутреннюю мотивацию у большинства членов педагогического коллектива. Администрация школы создала такие условия, когда каждый работник имеет возможность на своем рабочем месте выразить себя, показать собственные способности, испытывать профессиональную гордость, собственную значимость за результаты своего труда, ценность вклада в решение стратегических и тактических задач школы. Коллективно выработанная система морального и материального стимулирования, способствует созданию в коллективе здорового морально-психологического климата, обеспечению равных условий для реализации возможностей каждого члена педагогического коллектива и справедливого распределения вознаграждения. </w:t>
      </w:r>
    </w:p>
    <w:p w:rsidR="00AA0775" w:rsidRDefault="00AA0775" w:rsidP="00AA0775">
      <w:pPr>
        <w:numPr>
          <w:ilvl w:val="0"/>
          <w:numId w:val="5"/>
        </w:numPr>
        <w:ind w:left="0" w:firstLine="0"/>
        <w:jc w:val="both"/>
      </w:pPr>
      <w:r>
        <w:rPr>
          <w:b/>
          <w:i/>
        </w:rPr>
        <w:t>Информатизация учебно-организационного процесса в школе</w:t>
      </w:r>
      <w:r>
        <w:t>.</w:t>
      </w:r>
    </w:p>
    <w:p w:rsidR="00AA0775" w:rsidRDefault="00AA0775" w:rsidP="00AA0775">
      <w:pPr>
        <w:jc w:val="both"/>
      </w:pPr>
      <w:r>
        <w:t xml:space="preserve">За период 2007-2013 годы в школе создана достаточная информационно-аналитическая база: </w:t>
      </w:r>
    </w:p>
    <w:p w:rsidR="00AA0775" w:rsidRDefault="00AA0775" w:rsidP="00AA0775">
      <w:pPr>
        <w:jc w:val="both"/>
      </w:pPr>
      <w:r>
        <w:t xml:space="preserve">- имеются компьютерные классы, оснащенные современной компьютерной, </w:t>
      </w:r>
      <w:proofErr w:type="spellStart"/>
      <w:r>
        <w:t>медиатехникой</w:t>
      </w:r>
      <w:proofErr w:type="spellEnd"/>
      <w:r>
        <w:t>, банком электронных носителей информации по различным направлениям деятельности школы;</w:t>
      </w:r>
    </w:p>
    <w:p w:rsidR="00AA0775" w:rsidRDefault="00AA0775" w:rsidP="00AA0775">
      <w:pPr>
        <w:jc w:val="both"/>
      </w:pPr>
      <w:r>
        <w:t>- созданы внутренние локальные сети, соединяющие различные помещения школы и позволяющие иметь оперативную информацию;</w:t>
      </w:r>
    </w:p>
    <w:p w:rsidR="00AA0775" w:rsidRDefault="00AA0775" w:rsidP="00AA0775">
      <w:pPr>
        <w:jc w:val="both"/>
      </w:pPr>
      <w:r>
        <w:t>-   Школа участвует в республиканском проекте СЭО.</w:t>
      </w:r>
    </w:p>
    <w:p w:rsidR="00AA0775" w:rsidRDefault="00AA0775" w:rsidP="00AA0775">
      <w:pPr>
        <w:jc w:val="both"/>
      </w:pPr>
      <w:r>
        <w:t xml:space="preserve">Педагоги школы прошли специальные курсы по овладению компьютерной техникой, эффективному использованию информационных и коммуникативных технологий. Администрация, педагогический коллектив школы активно использует компьютерную </w:t>
      </w:r>
      <w:r>
        <w:lastRenderedPageBreak/>
        <w:t>технику в управленческой деятельности, педагогической и психологической диагностике, учебно-воспитательном процессе.</w:t>
      </w:r>
    </w:p>
    <w:p w:rsidR="00AA0775" w:rsidRDefault="00AA0775" w:rsidP="00AA0775">
      <w:pPr>
        <w:jc w:val="both"/>
      </w:pPr>
      <w:r>
        <w:t>Учащиеся школы, начиная со второго класса, овладевают основами компьютерной грамотности, а в старшем звене компьютер становится неотъемлемым средством получения дополнительной информации, помощником в составлении социальных и творческих проектов, других повседневных форм учебной и внеклассной деятельности.</w:t>
      </w:r>
    </w:p>
    <w:p w:rsidR="00AA0775" w:rsidRDefault="00AA0775" w:rsidP="00AA0775">
      <w:pPr>
        <w:jc w:val="both"/>
        <w:rPr>
          <w:b/>
        </w:rPr>
      </w:pPr>
    </w:p>
    <w:p w:rsidR="00AA0775" w:rsidRDefault="00336389" w:rsidP="00AA0775">
      <w:pPr>
        <w:jc w:val="both"/>
        <w:rPr>
          <w:b/>
        </w:rPr>
      </w:pPr>
      <w:r>
        <w:rPr>
          <w:b/>
        </w:rPr>
        <w:t>3.</w:t>
      </w:r>
      <w:r w:rsidR="00AA0775">
        <w:rPr>
          <w:b/>
        </w:rPr>
        <w:t>Информационный фонд школы</w:t>
      </w:r>
    </w:p>
    <w:p w:rsidR="00AA0775" w:rsidRDefault="00AA0775" w:rsidP="00AA0775">
      <w:pPr>
        <w:jc w:val="both"/>
      </w:pPr>
      <w:r>
        <w:t xml:space="preserve">Все учащиеся школы обеспечены бесплатными учебниками. В школьной библиотеке имеется научно-популярная, справочная и художественная литература, которая пополняется ежегодно, в методическом кабинете постоянно пополняется методическая литература. </w:t>
      </w:r>
      <w:proofErr w:type="gramStart"/>
      <w:r>
        <w:t xml:space="preserve">Также имеются электронные носители: программы по предметам – алгебра, физика, русский язык, литература, химия, биология, иностранные языки, география, история, МХК, информатика, музыка, искусство; энциклопедия Кирилла и </w:t>
      </w:r>
      <w:proofErr w:type="spellStart"/>
      <w:r>
        <w:t>Мефодия</w:t>
      </w:r>
      <w:proofErr w:type="spellEnd"/>
      <w:r>
        <w:t>, географическая энциклопедия, энциклопедия путешественника.</w:t>
      </w:r>
      <w:proofErr w:type="gramEnd"/>
      <w:r>
        <w:t xml:space="preserve"> В наличии электронные учебники, электронная база  тестов по всем предметам для подготовки к ЕНТ и ВОУД.</w:t>
      </w:r>
    </w:p>
    <w:p w:rsidR="00336389" w:rsidRDefault="00336389" w:rsidP="00336389">
      <w:pPr>
        <w:jc w:val="both"/>
        <w:rPr>
          <w:b/>
        </w:rPr>
      </w:pPr>
    </w:p>
    <w:p w:rsidR="00AA0775" w:rsidRPr="00336389" w:rsidRDefault="00336389" w:rsidP="00336389">
      <w:pPr>
        <w:jc w:val="both"/>
      </w:pPr>
      <w:r w:rsidRPr="00336389">
        <w:rPr>
          <w:b/>
        </w:rPr>
        <w:t>4.</w:t>
      </w:r>
      <w:r>
        <w:rPr>
          <w:b/>
        </w:rPr>
        <w:t xml:space="preserve"> </w:t>
      </w:r>
      <w:r w:rsidR="00AA0775" w:rsidRPr="00336389">
        <w:rPr>
          <w:b/>
        </w:rPr>
        <w:t>Материально-техническое, финансовое обеспечение</w:t>
      </w:r>
      <w:r w:rsidR="00AA0775" w:rsidRPr="00336389">
        <w:t>.</w:t>
      </w:r>
    </w:p>
    <w:p w:rsidR="00AA0775" w:rsidRDefault="00AA0775" w:rsidP="00AA0775">
      <w:pPr>
        <w:jc w:val="both"/>
      </w:pPr>
      <w:r>
        <w:t>За последние три года администрация школы, педагогический коллектив, административно-хозяйственный персонал сумели на 60% обновить существующую материально-техническую базу:</w:t>
      </w:r>
    </w:p>
    <w:p w:rsidR="00AA0775" w:rsidRDefault="00AA0775" w:rsidP="00AA0775">
      <w:pPr>
        <w:jc w:val="both"/>
      </w:pPr>
      <w:r>
        <w:t>- проведены ежегодные текущие ремонты здания;</w:t>
      </w:r>
    </w:p>
    <w:p w:rsidR="00AA0775" w:rsidRDefault="00AA0775" w:rsidP="00AA0775">
      <w:pPr>
        <w:jc w:val="both"/>
      </w:pPr>
      <w:r>
        <w:t>- создана устойчивая система противопожарной безопасности, предупреждение фактов терроризма;</w:t>
      </w:r>
    </w:p>
    <w:p w:rsidR="00AA0775" w:rsidRDefault="00AA0775" w:rsidP="00AA0775">
      <w:pPr>
        <w:jc w:val="both"/>
      </w:pPr>
      <w:r>
        <w:t xml:space="preserve">- полностью преобразованы учебные кабинеты. </w:t>
      </w:r>
    </w:p>
    <w:p w:rsidR="00AA0775" w:rsidRDefault="00AA0775" w:rsidP="00AA0775">
      <w:pPr>
        <w:jc w:val="both"/>
        <w:rPr>
          <w:b/>
        </w:rPr>
      </w:pPr>
    </w:p>
    <w:p w:rsidR="00AA0775" w:rsidRDefault="00AA0775" w:rsidP="00AA0775">
      <w:pPr>
        <w:jc w:val="both"/>
        <w:rPr>
          <w:b/>
        </w:rPr>
      </w:pPr>
      <w:r>
        <w:rPr>
          <w:b/>
          <w:lang w:val="en-US"/>
        </w:rPr>
        <w:t>IV</w:t>
      </w:r>
      <w:r>
        <w:rPr>
          <w:b/>
        </w:rPr>
        <w:t>. По качеству образовательной деятельности школы.</w:t>
      </w:r>
    </w:p>
    <w:p w:rsidR="00AA0775" w:rsidRDefault="00AA0775" w:rsidP="00AA0775">
      <w:pPr>
        <w:jc w:val="both"/>
        <w:rPr>
          <w:b/>
        </w:rPr>
      </w:pPr>
    </w:p>
    <w:p w:rsidR="00AA0775" w:rsidRDefault="00AA0775" w:rsidP="00AA0775">
      <w:pPr>
        <w:numPr>
          <w:ilvl w:val="0"/>
          <w:numId w:val="6"/>
        </w:numPr>
        <w:ind w:left="0" w:firstLine="0"/>
        <w:jc w:val="both"/>
        <w:rPr>
          <w:b/>
        </w:rPr>
      </w:pPr>
      <w:r>
        <w:rPr>
          <w:b/>
        </w:rPr>
        <w:t xml:space="preserve">Уровень успеваемости, </w:t>
      </w:r>
      <w:proofErr w:type="spellStart"/>
      <w:r>
        <w:rPr>
          <w:b/>
        </w:rPr>
        <w:t>обученности</w:t>
      </w:r>
      <w:proofErr w:type="spellEnd"/>
      <w:r>
        <w:rPr>
          <w:b/>
        </w:rPr>
        <w:t xml:space="preserve"> школьников.</w:t>
      </w:r>
    </w:p>
    <w:p w:rsidR="00AA0775" w:rsidRDefault="00AA0775" w:rsidP="00AA0775">
      <w:pPr>
        <w:jc w:val="both"/>
      </w:pPr>
      <w:r>
        <w:t xml:space="preserve">Наблюдается позитивная динамика успеваемости, </w:t>
      </w:r>
      <w:proofErr w:type="spellStart"/>
      <w:r>
        <w:t>обученности</w:t>
      </w:r>
      <w:proofErr w:type="spellEnd"/>
      <w:r>
        <w:t xml:space="preserve"> школьников за последние три года. Это видно из таблицы и графика успеваемости учащихся начального, среднего, старшего звена. </w:t>
      </w:r>
    </w:p>
    <w:p w:rsidR="00AA0775" w:rsidRDefault="00AA0775" w:rsidP="00AA0775">
      <w:pPr>
        <w:jc w:val="center"/>
        <w:rPr>
          <w:b/>
        </w:rPr>
      </w:pPr>
    </w:p>
    <w:p w:rsidR="00AA0775" w:rsidRDefault="00AA0775" w:rsidP="00AA0775">
      <w:pPr>
        <w:jc w:val="both"/>
      </w:pPr>
      <w:r>
        <w:t>Мониторинг успеваемости и качества  по предметам за три последних года в основном остаются стабильными, имеет направление на повышение, это  доказывает целенаправленную  деятельность педагогического коллектива по созданию комфортных  условий для учащихся в организации УВП</w:t>
      </w:r>
      <w:r w:rsidR="00336389">
        <w:t>.</w:t>
      </w:r>
      <w:r>
        <w:t xml:space="preserve"> </w:t>
      </w:r>
    </w:p>
    <w:p w:rsidR="00AA0775" w:rsidRDefault="00AA0775" w:rsidP="00AA0775"/>
    <w:p w:rsidR="00AA0775" w:rsidRPr="00336389" w:rsidRDefault="00AA0775" w:rsidP="00AA0775">
      <w:pPr>
        <w:numPr>
          <w:ilvl w:val="0"/>
          <w:numId w:val="6"/>
        </w:numPr>
        <w:ind w:left="0" w:firstLine="0"/>
        <w:jc w:val="center"/>
        <w:rPr>
          <w:b/>
        </w:rPr>
      </w:pPr>
      <w:r w:rsidRPr="00336389">
        <w:rPr>
          <w:b/>
        </w:rPr>
        <w:lastRenderedPageBreak/>
        <w:t xml:space="preserve">Средний бал  </w:t>
      </w:r>
      <w:proofErr w:type="spellStart"/>
      <w:r w:rsidRPr="00336389">
        <w:rPr>
          <w:b/>
        </w:rPr>
        <w:t>обученности</w:t>
      </w:r>
      <w:proofErr w:type="spellEnd"/>
      <w:r w:rsidRPr="00336389">
        <w:rPr>
          <w:b/>
        </w:rPr>
        <w:t xml:space="preserve"> учащихся  </w:t>
      </w:r>
      <w:r>
        <w:rPr>
          <w:b/>
          <w:noProof/>
        </w:rPr>
        <w:drawing>
          <wp:inline distT="0" distB="0" distL="0" distR="0" wp14:anchorId="37C0E9A6" wp14:editId="7ED067D5">
            <wp:extent cx="5495925" cy="2524125"/>
            <wp:effectExtent l="0" t="0" r="0" b="0"/>
            <wp:docPr id="1"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AA0775" w:rsidRDefault="00AA0775" w:rsidP="00AA0775">
      <w:pPr>
        <w:jc w:val="center"/>
        <w:rPr>
          <w:b/>
        </w:rPr>
      </w:pPr>
    </w:p>
    <w:p w:rsidR="00AA0775" w:rsidRDefault="00AA0775" w:rsidP="00AA0775">
      <w:pPr>
        <w:jc w:val="center"/>
        <w:rPr>
          <w:b/>
        </w:rPr>
      </w:pPr>
    </w:p>
    <w:p w:rsidR="00AA0775" w:rsidRDefault="00AA0775" w:rsidP="00AA0775">
      <w:pPr>
        <w:rPr>
          <w:u w:val="single"/>
        </w:rPr>
      </w:pPr>
      <w:r>
        <w:t xml:space="preserve">Диагностика среднего балла </w:t>
      </w:r>
      <w:proofErr w:type="spellStart"/>
      <w:r>
        <w:t>обученности</w:t>
      </w:r>
      <w:proofErr w:type="spellEnd"/>
      <w:r>
        <w:t xml:space="preserve"> показывает, что наблюдается положительная динамика в качественных  показателях </w:t>
      </w:r>
      <w:proofErr w:type="spellStart"/>
      <w:r>
        <w:t>обученности</w:t>
      </w:r>
      <w:proofErr w:type="spellEnd"/>
      <w:r>
        <w:t xml:space="preserve"> школьников, это  доказывает  эффективность организации УВП в школе.</w:t>
      </w:r>
    </w:p>
    <w:p w:rsidR="00AA0775" w:rsidRDefault="00AA0775" w:rsidP="00AA0775">
      <w:pPr>
        <w:rPr>
          <w:b/>
        </w:rPr>
      </w:pPr>
      <w:r>
        <w:rPr>
          <w:b/>
        </w:rPr>
        <w:t>3.Уровень развития и воспитанности.</w:t>
      </w:r>
    </w:p>
    <w:p w:rsidR="00AA0775" w:rsidRDefault="00AA0775" w:rsidP="00AA0775">
      <w:pPr>
        <w:rPr>
          <w:b/>
        </w:rPr>
      </w:pPr>
    </w:p>
    <w:p w:rsidR="00AA0775" w:rsidRDefault="00AA0775" w:rsidP="00AA0775">
      <w:r>
        <w:t>Он включает в себя интегральные показатели физического  развития, сохранения и укрепления здоровья, психического, социально-личностного, духовно-нравственного, трудового воспитания и развития, жизненной и профессиональной направленности учащихся.</w:t>
      </w:r>
    </w:p>
    <w:p w:rsidR="00AA0775" w:rsidRDefault="00AA0775" w:rsidP="00AA0775">
      <w:pPr>
        <w:jc w:val="center"/>
        <w:rPr>
          <w:u w:val="single"/>
        </w:rPr>
      </w:pPr>
    </w:p>
    <w:p w:rsidR="00AA0775" w:rsidRDefault="00AA0775" w:rsidP="00AA0775">
      <w:pPr>
        <w:jc w:val="center"/>
      </w:pPr>
      <w:r>
        <w:rPr>
          <w:u w:val="single"/>
        </w:rPr>
        <w:t>По физическому развитию, сохранению, укреплению здоровья</w:t>
      </w:r>
      <w:r>
        <w:t xml:space="preserve"> просматривается небольшая позитивная динамика.</w:t>
      </w:r>
    </w:p>
    <w:p w:rsidR="00AA0775" w:rsidRDefault="00AA0775" w:rsidP="00AA0775">
      <w:pPr>
        <w:jc w:val="center"/>
      </w:pPr>
    </w:p>
    <w:p w:rsidR="00AA0775" w:rsidRDefault="00AA0775" w:rsidP="00AA0775">
      <w:pPr>
        <w:jc w:val="center"/>
      </w:pPr>
    </w:p>
    <w:p w:rsidR="00AA0775" w:rsidRDefault="00AA0775" w:rsidP="00AA0775">
      <w:pPr>
        <w:jc w:val="center"/>
      </w:pPr>
      <w:r>
        <w:rPr>
          <w:noProof/>
        </w:rPr>
        <w:drawing>
          <wp:inline distT="0" distB="0" distL="0" distR="0" wp14:anchorId="119C74DB" wp14:editId="3A3BA417">
            <wp:extent cx="6210300" cy="3600450"/>
            <wp:effectExtent l="0" t="0" r="0" b="0"/>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A0775" w:rsidRDefault="00AA0775" w:rsidP="00AA0775">
      <w:pPr>
        <w:ind w:firstLine="708"/>
        <w:jc w:val="both"/>
      </w:pPr>
      <w:r>
        <w:lastRenderedPageBreak/>
        <w:t>Мониторинг состояния здоровья учащихся показывает, что учащиеся, которые  приходят в первый класс имеют высокий процент хронических заболеваний. Для учащихся с ослабленным здоровьем организована деятельность специальных медицинских  групп  по  заболеваниям. Наблюдается снижение показателей для таких заболеваний как заболевания органов пищеварения, эндокринной системы. Остается проблемой рост неврологических, ЛОР, Ж</w:t>
      </w:r>
      <w:proofErr w:type="gramStart"/>
      <w:r>
        <w:t>К-</w:t>
      </w:r>
      <w:proofErr w:type="gramEnd"/>
      <w:r>
        <w:t xml:space="preserve"> заболеваний.</w:t>
      </w:r>
    </w:p>
    <w:p w:rsidR="00AA0775" w:rsidRDefault="00AA0775" w:rsidP="00AA0775">
      <w:pPr>
        <w:jc w:val="both"/>
      </w:pPr>
    </w:p>
    <w:p w:rsidR="00336389" w:rsidRDefault="00336389" w:rsidP="00AA0775">
      <w:pPr>
        <w:jc w:val="center"/>
        <w:rPr>
          <w:b/>
        </w:rPr>
      </w:pPr>
    </w:p>
    <w:p w:rsidR="00AA0775" w:rsidRDefault="00AA0775" w:rsidP="00AA0775">
      <w:pPr>
        <w:jc w:val="center"/>
        <w:rPr>
          <w:b/>
        </w:rPr>
      </w:pPr>
    </w:p>
    <w:p w:rsidR="00AA0775" w:rsidRDefault="00AA0775" w:rsidP="00AA0775">
      <w:pPr>
        <w:jc w:val="center"/>
        <w:rPr>
          <w:b/>
        </w:rPr>
      </w:pPr>
      <w:r>
        <w:rPr>
          <w:b/>
        </w:rPr>
        <w:t>Мониторинг посещения специальных медицинских групп</w:t>
      </w:r>
    </w:p>
    <w:p w:rsidR="00AA0775" w:rsidRDefault="00AA0775" w:rsidP="00AA0775">
      <w:pPr>
        <w:jc w:val="both"/>
      </w:pPr>
    </w:p>
    <w:p w:rsidR="00AA0775" w:rsidRDefault="00AA0775" w:rsidP="00AA0775">
      <w:pPr>
        <w:jc w:val="both"/>
      </w:pPr>
      <w:r>
        <w:rPr>
          <w:noProof/>
        </w:rPr>
        <w:drawing>
          <wp:inline distT="0" distB="0" distL="0" distR="0" wp14:anchorId="1D12D87B" wp14:editId="77079D27">
            <wp:extent cx="6381750" cy="3048000"/>
            <wp:effectExtent l="0" t="0" r="0" b="0"/>
            <wp:docPr id="3"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A0775" w:rsidRDefault="00AA0775" w:rsidP="00AA0775">
      <w:pPr>
        <w:jc w:val="both"/>
      </w:pPr>
    </w:p>
    <w:p w:rsidR="00AA0775" w:rsidRDefault="00AA0775" w:rsidP="00AA0775">
      <w:pPr>
        <w:jc w:val="both"/>
      </w:pPr>
      <w:r>
        <w:t>Сравнительный анализ состояния здоровья учащихся показывает, что количество учеников, нуждающихся в специальных занятиях лечебной физкультуры, снижается и ученики переходят в основную группу.</w:t>
      </w:r>
    </w:p>
    <w:p w:rsidR="00AA0775" w:rsidRDefault="00AA0775" w:rsidP="00AA0775">
      <w:pPr>
        <w:jc w:val="center"/>
        <w:rPr>
          <w:u w:val="single"/>
        </w:rPr>
      </w:pPr>
    </w:p>
    <w:p w:rsidR="00AA0775" w:rsidRDefault="00AA0775" w:rsidP="00AA0775">
      <w:r>
        <w:rPr>
          <w:u w:val="single"/>
        </w:rPr>
        <w:t>По психическому развитию</w:t>
      </w:r>
    </w:p>
    <w:p w:rsidR="00AA0775" w:rsidRDefault="00AA0775" w:rsidP="00AA0775">
      <w:pPr>
        <w:jc w:val="both"/>
      </w:pPr>
      <w:r>
        <w:t xml:space="preserve"> включающего в себя: уровень развития когнитивных процессов </w:t>
      </w:r>
      <w:proofErr w:type="spellStart"/>
      <w:r>
        <w:t>общеучебных</w:t>
      </w:r>
      <w:proofErr w:type="spellEnd"/>
      <w:r>
        <w:t xml:space="preserve"> умений и навыков, творческих способностей, положительной «Я-концепции», эмоционально-волевой сферы, следует отметить, что педагогический коллектив школы создал целостную систему формирования </w:t>
      </w:r>
      <w:proofErr w:type="spellStart"/>
      <w:r>
        <w:t>общеучебных</w:t>
      </w:r>
      <w:proofErr w:type="spellEnd"/>
      <w:r>
        <w:t xml:space="preserve"> умений и навыков с 1-го по 11-й классы,  </w:t>
      </w:r>
      <w:proofErr w:type="gramStart"/>
      <w:r>
        <w:t>которая</w:t>
      </w:r>
      <w:proofErr w:type="gramEnd"/>
      <w:r>
        <w:t xml:space="preserve"> успешно работает в школе. Над остальными компонентами планируется целенаправленно работать в будущем.</w:t>
      </w:r>
    </w:p>
    <w:p w:rsidR="00AA0775" w:rsidRDefault="00AA0775" w:rsidP="00AA0775">
      <w:pPr>
        <w:jc w:val="center"/>
        <w:rPr>
          <w:u w:val="single"/>
        </w:rPr>
      </w:pPr>
    </w:p>
    <w:p w:rsidR="00AA0775" w:rsidRDefault="00AA0775" w:rsidP="00AA0775">
      <w:r>
        <w:rPr>
          <w:u w:val="single"/>
        </w:rPr>
        <w:t>По социально-личностному развитию и воспитанию</w:t>
      </w:r>
      <w:r>
        <w:t xml:space="preserve"> </w:t>
      </w:r>
    </w:p>
    <w:p w:rsidR="00AA0775" w:rsidRDefault="00AA0775" w:rsidP="00AA0775">
      <w:pPr>
        <w:jc w:val="both"/>
      </w:pPr>
      <w:r>
        <w:t xml:space="preserve">есть положительная динамика по формированию социальных жизненных навыков. Как положительный результат: в школе никто из учащихся не </w:t>
      </w:r>
      <w:proofErr w:type="gramStart"/>
      <w:r>
        <w:t>стоит на наркологическом учете</w:t>
      </w:r>
      <w:proofErr w:type="gramEnd"/>
      <w:r>
        <w:t xml:space="preserve"> по приему </w:t>
      </w:r>
      <w:proofErr w:type="spellStart"/>
      <w:r>
        <w:t>психоактивных</w:t>
      </w:r>
      <w:proofErr w:type="spellEnd"/>
      <w:r>
        <w:t xml:space="preserve"> веществ (алкоголя, токсичных наркологических веществ)</w:t>
      </w:r>
    </w:p>
    <w:p w:rsidR="00AA0775" w:rsidRDefault="00AA0775" w:rsidP="00AA0775">
      <w:pPr>
        <w:jc w:val="center"/>
        <w:rPr>
          <w:b/>
        </w:rPr>
      </w:pPr>
    </w:p>
    <w:p w:rsidR="00AA0775" w:rsidRDefault="00AA0775" w:rsidP="00AA0775">
      <w:r>
        <w:rPr>
          <w:u w:val="single"/>
        </w:rPr>
        <w:t xml:space="preserve">По духовно-нравственному воспитанию и развитию учащихся, </w:t>
      </w:r>
      <w:proofErr w:type="gramStart"/>
      <w:r>
        <w:t>включающим</w:t>
      </w:r>
      <w:proofErr w:type="gramEnd"/>
      <w:r>
        <w:t xml:space="preserve"> в себя несколько наиболее значимых компонентов, школа удовлетворена промежуточными результатами работы по формированию вечных духовных ценностей, глубинных нравственных качеств, гражданственности школьников.</w:t>
      </w:r>
    </w:p>
    <w:p w:rsidR="00AA0775" w:rsidRDefault="00AA0775" w:rsidP="00AA0775">
      <w:pPr>
        <w:jc w:val="both"/>
      </w:pPr>
      <w:r>
        <w:lastRenderedPageBreak/>
        <w:t>В будущем предстоит системная работа по формированию духовно-нравственной культуры школьников (культуры поведения, межличностного общения, здоровья, экологической, планетарной культуры).</w:t>
      </w:r>
    </w:p>
    <w:p w:rsidR="00AA0775" w:rsidRDefault="00AA0775" w:rsidP="00AA0775">
      <w:pPr>
        <w:jc w:val="both"/>
      </w:pPr>
    </w:p>
    <w:p w:rsidR="00AA0775" w:rsidRDefault="00AA0775" w:rsidP="00AA0775">
      <w:pPr>
        <w:rPr>
          <w:u w:val="single"/>
        </w:rPr>
      </w:pPr>
      <w:r>
        <w:rPr>
          <w:u w:val="single"/>
        </w:rPr>
        <w:t>По трудовому воспитанию и развитию, профессиональному самоопределению.</w:t>
      </w:r>
    </w:p>
    <w:p w:rsidR="00AA0775" w:rsidRDefault="00AA0775" w:rsidP="00AA0775">
      <w:pPr>
        <w:jc w:val="both"/>
      </w:pPr>
      <w:r>
        <w:t xml:space="preserve">Школа может гордиться уровнем сформированности действенно-практических умений и навыков учащихся по работе с деревом, металлом, тканью, приготовлением пищи, сельскохозяйственными работами.    </w:t>
      </w:r>
    </w:p>
    <w:p w:rsidR="00AA0775" w:rsidRDefault="00AA0775" w:rsidP="00AA0775">
      <w:pPr>
        <w:jc w:val="both"/>
      </w:pPr>
      <w:r>
        <w:t xml:space="preserve">         </w:t>
      </w:r>
    </w:p>
    <w:p w:rsidR="00AA0775" w:rsidRDefault="00AA0775" w:rsidP="00AA0775">
      <w:pPr>
        <w:jc w:val="both"/>
      </w:pPr>
    </w:p>
    <w:p w:rsidR="00AA0775" w:rsidRDefault="00AA0775" w:rsidP="00AA0775">
      <w:pPr>
        <w:jc w:val="center"/>
        <w:rPr>
          <w:b/>
        </w:rPr>
      </w:pPr>
      <w:r>
        <w:rPr>
          <w:b/>
        </w:rPr>
        <w:t>Трудоустройство учащихся 9-х и 11-х классов.</w:t>
      </w:r>
    </w:p>
    <w:p w:rsidR="00AA0775" w:rsidRDefault="00AA0775" w:rsidP="00AA0775">
      <w:pPr>
        <w:jc w:val="both"/>
        <w:rPr>
          <w:b/>
        </w:rPr>
      </w:pPr>
    </w:p>
    <w:p w:rsidR="00AA0775" w:rsidRDefault="00AA0775" w:rsidP="00AA0775">
      <w:pPr>
        <w:ind w:firstLine="708"/>
        <w:jc w:val="both"/>
      </w:pPr>
      <w:r>
        <w:t xml:space="preserve">Предварительная работа по организации </w:t>
      </w:r>
      <w:proofErr w:type="spellStart"/>
      <w:r>
        <w:t>предпрофильного</w:t>
      </w:r>
      <w:proofErr w:type="spellEnd"/>
      <w:r>
        <w:t xml:space="preserve">  обучения в условиях общеобразовательной школы дала устойчивые положительные результаты по профессиональному самоопределению воспитанников.</w:t>
      </w:r>
    </w:p>
    <w:p w:rsidR="00AA0775" w:rsidRDefault="00AA0775" w:rsidP="00AA0775">
      <w:pPr>
        <w:ind w:firstLine="708"/>
        <w:jc w:val="both"/>
      </w:pPr>
      <w:r>
        <w:t>Школа с удовлетворением констатирует, что в 2012-2013 году 100% выпускников 9-11-ых классов получают дальнейшее высшее и  профессиональное образование в соответствии с выбранным профилем.</w:t>
      </w:r>
    </w:p>
    <w:p w:rsidR="00AA0775" w:rsidRDefault="00AA0775" w:rsidP="00AA0775">
      <w:pPr>
        <w:jc w:val="both"/>
      </w:pPr>
    </w:p>
    <w:p w:rsidR="00AA0775" w:rsidRDefault="00AA0775" w:rsidP="00AA0775">
      <w:pPr>
        <w:jc w:val="center"/>
        <w:rPr>
          <w:b/>
        </w:rPr>
      </w:pPr>
      <w:r>
        <w:rPr>
          <w:b/>
        </w:rPr>
        <w:t>Трудоустройство выпускников основной школы</w:t>
      </w:r>
    </w:p>
    <w:p w:rsidR="00AA0775" w:rsidRDefault="00AA0775" w:rsidP="00AA0775">
      <w:pPr>
        <w:jc w:val="both"/>
      </w:pP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9"/>
        <w:gridCol w:w="912"/>
        <w:gridCol w:w="712"/>
        <w:gridCol w:w="1072"/>
        <w:gridCol w:w="969"/>
        <w:gridCol w:w="1129"/>
        <w:gridCol w:w="858"/>
        <w:gridCol w:w="1004"/>
        <w:gridCol w:w="678"/>
        <w:gridCol w:w="596"/>
        <w:gridCol w:w="671"/>
        <w:gridCol w:w="592"/>
      </w:tblGrid>
      <w:tr w:rsidR="00AA0775" w:rsidTr="00336389">
        <w:trPr>
          <w:cantSplit/>
          <w:trHeight w:val="1078"/>
        </w:trPr>
        <w:tc>
          <w:tcPr>
            <w:tcW w:w="799" w:type="dxa"/>
            <w:vMerge w:val="restart"/>
            <w:tcBorders>
              <w:top w:val="single" w:sz="4" w:space="0" w:color="auto"/>
              <w:left w:val="single" w:sz="4" w:space="0" w:color="auto"/>
              <w:bottom w:val="single" w:sz="4" w:space="0" w:color="auto"/>
              <w:right w:val="single" w:sz="4" w:space="0" w:color="auto"/>
            </w:tcBorders>
            <w:textDirection w:val="btLr"/>
            <w:hideMark/>
          </w:tcPr>
          <w:p w:rsidR="00AA0775" w:rsidRDefault="00AA0775">
            <w:pPr>
              <w:ind w:right="113"/>
              <w:jc w:val="center"/>
              <w:rPr>
                <w:b/>
              </w:rPr>
            </w:pPr>
            <w:r>
              <w:rPr>
                <w:b/>
              </w:rPr>
              <w:t>Год</w:t>
            </w:r>
          </w:p>
        </w:tc>
        <w:tc>
          <w:tcPr>
            <w:tcW w:w="912" w:type="dxa"/>
            <w:vMerge w:val="restart"/>
            <w:tcBorders>
              <w:top w:val="single" w:sz="4" w:space="0" w:color="auto"/>
              <w:left w:val="single" w:sz="4" w:space="0" w:color="auto"/>
              <w:bottom w:val="single" w:sz="4" w:space="0" w:color="auto"/>
              <w:right w:val="single" w:sz="4" w:space="0" w:color="auto"/>
            </w:tcBorders>
            <w:hideMark/>
          </w:tcPr>
          <w:p w:rsidR="00AA0775" w:rsidRDefault="00AA0775">
            <w:pPr>
              <w:jc w:val="center"/>
              <w:rPr>
                <w:b/>
              </w:rPr>
            </w:pPr>
            <w:r>
              <w:rPr>
                <w:b/>
              </w:rPr>
              <w:t>Общее количество</w:t>
            </w:r>
          </w:p>
        </w:tc>
        <w:tc>
          <w:tcPr>
            <w:tcW w:w="1784" w:type="dxa"/>
            <w:gridSpan w:val="2"/>
            <w:tcBorders>
              <w:top w:val="single" w:sz="4" w:space="0" w:color="auto"/>
              <w:left w:val="single" w:sz="4" w:space="0" w:color="auto"/>
              <w:bottom w:val="single" w:sz="4" w:space="0" w:color="auto"/>
              <w:right w:val="single" w:sz="4" w:space="0" w:color="auto"/>
            </w:tcBorders>
            <w:hideMark/>
          </w:tcPr>
          <w:p w:rsidR="00AA0775" w:rsidRDefault="00AA0775">
            <w:pPr>
              <w:jc w:val="center"/>
              <w:rPr>
                <w:b/>
              </w:rPr>
            </w:pPr>
            <w:r>
              <w:rPr>
                <w:b/>
              </w:rPr>
              <w:t>10-е классы</w:t>
            </w:r>
          </w:p>
        </w:tc>
        <w:tc>
          <w:tcPr>
            <w:tcW w:w="2097" w:type="dxa"/>
            <w:gridSpan w:val="2"/>
            <w:tcBorders>
              <w:top w:val="single" w:sz="4" w:space="0" w:color="auto"/>
              <w:left w:val="single" w:sz="4" w:space="0" w:color="auto"/>
              <w:bottom w:val="single" w:sz="4" w:space="0" w:color="auto"/>
              <w:right w:val="single" w:sz="4" w:space="0" w:color="auto"/>
            </w:tcBorders>
            <w:hideMark/>
          </w:tcPr>
          <w:p w:rsidR="00AA0775" w:rsidRDefault="00AA0775">
            <w:pPr>
              <w:jc w:val="center"/>
              <w:rPr>
                <w:b/>
              </w:rPr>
            </w:pPr>
            <w:r>
              <w:rPr>
                <w:b/>
              </w:rPr>
              <w:t>Начальное профессиональное образование</w:t>
            </w:r>
          </w:p>
        </w:tc>
        <w:tc>
          <w:tcPr>
            <w:tcW w:w="1862" w:type="dxa"/>
            <w:gridSpan w:val="2"/>
            <w:tcBorders>
              <w:top w:val="single" w:sz="4" w:space="0" w:color="auto"/>
              <w:left w:val="single" w:sz="4" w:space="0" w:color="auto"/>
              <w:bottom w:val="single" w:sz="4" w:space="0" w:color="auto"/>
              <w:right w:val="single" w:sz="4" w:space="0" w:color="auto"/>
            </w:tcBorders>
            <w:hideMark/>
          </w:tcPr>
          <w:p w:rsidR="00AA0775" w:rsidRDefault="00AA0775">
            <w:pPr>
              <w:jc w:val="center"/>
              <w:rPr>
                <w:b/>
              </w:rPr>
            </w:pPr>
            <w:r>
              <w:rPr>
                <w:b/>
              </w:rPr>
              <w:t>Средне-специальное</w:t>
            </w:r>
          </w:p>
        </w:tc>
        <w:tc>
          <w:tcPr>
            <w:tcW w:w="1273" w:type="dxa"/>
            <w:gridSpan w:val="2"/>
            <w:tcBorders>
              <w:top w:val="single" w:sz="4" w:space="0" w:color="auto"/>
              <w:left w:val="single" w:sz="4" w:space="0" w:color="auto"/>
              <w:bottom w:val="single" w:sz="4" w:space="0" w:color="auto"/>
              <w:right w:val="single" w:sz="4" w:space="0" w:color="auto"/>
            </w:tcBorders>
          </w:tcPr>
          <w:p w:rsidR="00AA0775" w:rsidRDefault="00AA0775">
            <w:pPr>
              <w:jc w:val="center"/>
              <w:rPr>
                <w:b/>
              </w:rPr>
            </w:pPr>
          </w:p>
          <w:p w:rsidR="00AA0775" w:rsidRDefault="00AA0775">
            <w:pPr>
              <w:jc w:val="center"/>
              <w:rPr>
                <w:b/>
              </w:rPr>
            </w:pPr>
            <w:r>
              <w:rPr>
                <w:b/>
              </w:rPr>
              <w:t xml:space="preserve">Вечерняя </w:t>
            </w:r>
          </w:p>
          <w:p w:rsidR="00AA0775" w:rsidRDefault="00AA0775">
            <w:pPr>
              <w:jc w:val="center"/>
              <w:rPr>
                <w:b/>
              </w:rPr>
            </w:pPr>
            <w:r>
              <w:rPr>
                <w:b/>
              </w:rPr>
              <w:t>школа</w:t>
            </w:r>
          </w:p>
        </w:tc>
        <w:tc>
          <w:tcPr>
            <w:tcW w:w="1263" w:type="dxa"/>
            <w:gridSpan w:val="2"/>
            <w:tcBorders>
              <w:top w:val="single" w:sz="4" w:space="0" w:color="auto"/>
              <w:left w:val="single" w:sz="4" w:space="0" w:color="auto"/>
              <w:bottom w:val="single" w:sz="4" w:space="0" w:color="auto"/>
              <w:right w:val="single" w:sz="4" w:space="0" w:color="auto"/>
            </w:tcBorders>
            <w:hideMark/>
          </w:tcPr>
          <w:p w:rsidR="00AA0775" w:rsidRDefault="00AA0775">
            <w:pPr>
              <w:jc w:val="center"/>
              <w:rPr>
                <w:b/>
              </w:rPr>
            </w:pPr>
            <w:r>
              <w:rPr>
                <w:b/>
              </w:rPr>
              <w:t>Не работают и не учатся</w:t>
            </w:r>
          </w:p>
        </w:tc>
      </w:tr>
      <w:tr w:rsidR="00AA0775" w:rsidTr="00336389">
        <w:trPr>
          <w:cantSplit/>
          <w:trHeight w:val="1211"/>
        </w:trPr>
        <w:tc>
          <w:tcPr>
            <w:tcW w:w="799" w:type="dxa"/>
            <w:vMerge/>
            <w:tcBorders>
              <w:top w:val="single" w:sz="4" w:space="0" w:color="auto"/>
              <w:left w:val="single" w:sz="4" w:space="0" w:color="auto"/>
              <w:bottom w:val="single" w:sz="4" w:space="0" w:color="auto"/>
              <w:right w:val="single" w:sz="4" w:space="0" w:color="auto"/>
            </w:tcBorders>
            <w:vAlign w:val="center"/>
            <w:hideMark/>
          </w:tcPr>
          <w:p w:rsidR="00AA0775" w:rsidRDefault="00AA0775">
            <w:pPr>
              <w:rPr>
                <w:b/>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AA0775" w:rsidRDefault="00AA0775">
            <w:pPr>
              <w:rPr>
                <w:b/>
              </w:rPr>
            </w:pPr>
          </w:p>
        </w:tc>
        <w:tc>
          <w:tcPr>
            <w:tcW w:w="712" w:type="dxa"/>
            <w:tcBorders>
              <w:top w:val="single" w:sz="4" w:space="0" w:color="auto"/>
              <w:left w:val="single" w:sz="4" w:space="0" w:color="auto"/>
              <w:bottom w:val="single" w:sz="4" w:space="0" w:color="auto"/>
              <w:right w:val="single" w:sz="4" w:space="0" w:color="auto"/>
            </w:tcBorders>
            <w:textDirection w:val="btLr"/>
            <w:hideMark/>
          </w:tcPr>
          <w:p w:rsidR="00AA0775" w:rsidRDefault="00AA0775">
            <w:pPr>
              <w:ind w:right="113"/>
              <w:jc w:val="center"/>
            </w:pPr>
            <w:r>
              <w:t>Количество</w:t>
            </w:r>
          </w:p>
        </w:tc>
        <w:tc>
          <w:tcPr>
            <w:tcW w:w="1072"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w:t>
            </w:r>
          </w:p>
        </w:tc>
        <w:tc>
          <w:tcPr>
            <w:tcW w:w="969" w:type="dxa"/>
            <w:tcBorders>
              <w:top w:val="single" w:sz="4" w:space="0" w:color="auto"/>
              <w:left w:val="single" w:sz="4" w:space="0" w:color="auto"/>
              <w:bottom w:val="single" w:sz="4" w:space="0" w:color="auto"/>
              <w:right w:val="single" w:sz="4" w:space="0" w:color="auto"/>
            </w:tcBorders>
            <w:textDirection w:val="btLr"/>
            <w:hideMark/>
          </w:tcPr>
          <w:p w:rsidR="00AA0775" w:rsidRDefault="00AA0775">
            <w:pPr>
              <w:ind w:right="113"/>
              <w:jc w:val="center"/>
            </w:pPr>
            <w:r>
              <w:t>Количество</w:t>
            </w:r>
          </w:p>
        </w:tc>
        <w:tc>
          <w:tcPr>
            <w:tcW w:w="1129"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w:t>
            </w:r>
          </w:p>
        </w:tc>
        <w:tc>
          <w:tcPr>
            <w:tcW w:w="858" w:type="dxa"/>
            <w:tcBorders>
              <w:top w:val="single" w:sz="4" w:space="0" w:color="auto"/>
              <w:left w:val="single" w:sz="4" w:space="0" w:color="auto"/>
              <w:bottom w:val="single" w:sz="4" w:space="0" w:color="auto"/>
              <w:right w:val="single" w:sz="4" w:space="0" w:color="auto"/>
            </w:tcBorders>
            <w:textDirection w:val="btLr"/>
            <w:hideMark/>
          </w:tcPr>
          <w:p w:rsidR="00AA0775" w:rsidRDefault="00AA0775">
            <w:pPr>
              <w:ind w:right="113"/>
              <w:jc w:val="center"/>
            </w:pPr>
            <w:r>
              <w:t>Количество</w:t>
            </w:r>
          </w:p>
        </w:tc>
        <w:tc>
          <w:tcPr>
            <w:tcW w:w="1004"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w:t>
            </w:r>
          </w:p>
        </w:tc>
        <w:tc>
          <w:tcPr>
            <w:tcW w:w="678" w:type="dxa"/>
            <w:tcBorders>
              <w:top w:val="single" w:sz="4" w:space="0" w:color="auto"/>
              <w:left w:val="single" w:sz="4" w:space="0" w:color="auto"/>
              <w:bottom w:val="single" w:sz="4" w:space="0" w:color="auto"/>
              <w:right w:val="single" w:sz="4" w:space="0" w:color="auto"/>
            </w:tcBorders>
            <w:textDirection w:val="btLr"/>
            <w:hideMark/>
          </w:tcPr>
          <w:p w:rsidR="00AA0775" w:rsidRDefault="00AA0775">
            <w:pPr>
              <w:ind w:right="113"/>
              <w:jc w:val="center"/>
            </w:pPr>
            <w:r>
              <w:t>Количество</w:t>
            </w:r>
          </w:p>
        </w:tc>
        <w:tc>
          <w:tcPr>
            <w:tcW w:w="596"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w:t>
            </w:r>
          </w:p>
        </w:tc>
        <w:tc>
          <w:tcPr>
            <w:tcW w:w="671" w:type="dxa"/>
            <w:tcBorders>
              <w:top w:val="single" w:sz="4" w:space="0" w:color="auto"/>
              <w:left w:val="single" w:sz="4" w:space="0" w:color="auto"/>
              <w:bottom w:val="single" w:sz="4" w:space="0" w:color="auto"/>
              <w:right w:val="single" w:sz="4" w:space="0" w:color="auto"/>
            </w:tcBorders>
            <w:textDirection w:val="btLr"/>
            <w:hideMark/>
          </w:tcPr>
          <w:p w:rsidR="00AA0775" w:rsidRDefault="00AA0775">
            <w:pPr>
              <w:ind w:right="113"/>
              <w:jc w:val="center"/>
            </w:pPr>
            <w:r>
              <w:t>Количество</w:t>
            </w:r>
          </w:p>
        </w:tc>
        <w:tc>
          <w:tcPr>
            <w:tcW w:w="592"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w:t>
            </w:r>
          </w:p>
        </w:tc>
      </w:tr>
      <w:tr w:rsidR="00AA0775" w:rsidTr="00336389">
        <w:trPr>
          <w:trHeight w:val="299"/>
        </w:trPr>
        <w:tc>
          <w:tcPr>
            <w:tcW w:w="799"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2012-2013</w:t>
            </w:r>
          </w:p>
        </w:tc>
        <w:tc>
          <w:tcPr>
            <w:tcW w:w="912"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100</w:t>
            </w:r>
          </w:p>
        </w:tc>
        <w:tc>
          <w:tcPr>
            <w:tcW w:w="712"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53</w:t>
            </w:r>
          </w:p>
        </w:tc>
        <w:tc>
          <w:tcPr>
            <w:tcW w:w="1072"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53%</w:t>
            </w:r>
          </w:p>
        </w:tc>
        <w:tc>
          <w:tcPr>
            <w:tcW w:w="969" w:type="dxa"/>
            <w:tcBorders>
              <w:top w:val="single" w:sz="4" w:space="0" w:color="auto"/>
              <w:left w:val="single" w:sz="4" w:space="0" w:color="auto"/>
              <w:bottom w:val="single" w:sz="4" w:space="0" w:color="auto"/>
              <w:right w:val="single" w:sz="4" w:space="0" w:color="auto"/>
            </w:tcBorders>
            <w:hideMark/>
          </w:tcPr>
          <w:p w:rsidR="00AA0775" w:rsidRDefault="00AA0775">
            <w:r>
              <w:t>0</w:t>
            </w:r>
          </w:p>
        </w:tc>
        <w:tc>
          <w:tcPr>
            <w:tcW w:w="1129"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0</w:t>
            </w:r>
          </w:p>
        </w:tc>
        <w:tc>
          <w:tcPr>
            <w:tcW w:w="858"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47</w:t>
            </w:r>
          </w:p>
        </w:tc>
        <w:tc>
          <w:tcPr>
            <w:tcW w:w="1004" w:type="dxa"/>
            <w:tcBorders>
              <w:top w:val="single" w:sz="4" w:space="0" w:color="auto"/>
              <w:left w:val="single" w:sz="4" w:space="0" w:color="auto"/>
              <w:bottom w:val="single" w:sz="4" w:space="0" w:color="auto"/>
              <w:right w:val="single" w:sz="4" w:space="0" w:color="auto"/>
            </w:tcBorders>
            <w:hideMark/>
          </w:tcPr>
          <w:p w:rsidR="00AA0775" w:rsidRDefault="00AA0775">
            <w:r>
              <w:t>47%</w:t>
            </w:r>
          </w:p>
        </w:tc>
        <w:tc>
          <w:tcPr>
            <w:tcW w:w="678"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0</w:t>
            </w:r>
          </w:p>
        </w:tc>
        <w:tc>
          <w:tcPr>
            <w:tcW w:w="596"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0</w:t>
            </w:r>
          </w:p>
        </w:tc>
        <w:tc>
          <w:tcPr>
            <w:tcW w:w="671"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0</w:t>
            </w:r>
          </w:p>
        </w:tc>
        <w:tc>
          <w:tcPr>
            <w:tcW w:w="592"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0</w:t>
            </w:r>
          </w:p>
        </w:tc>
      </w:tr>
    </w:tbl>
    <w:p w:rsidR="00AA0775" w:rsidRDefault="00AA0775" w:rsidP="00AA0775">
      <w:pPr>
        <w:jc w:val="both"/>
      </w:pPr>
    </w:p>
    <w:p w:rsidR="00AA0775" w:rsidRDefault="00AA0775" w:rsidP="00AA0775">
      <w:pPr>
        <w:jc w:val="both"/>
      </w:pPr>
    </w:p>
    <w:p w:rsidR="00AA0775" w:rsidRDefault="00AA0775" w:rsidP="00AA0775">
      <w:pPr>
        <w:jc w:val="both"/>
      </w:pPr>
      <w:r>
        <w:rPr>
          <w:noProof/>
        </w:rPr>
        <w:drawing>
          <wp:inline distT="0" distB="0" distL="0" distR="0" wp14:anchorId="4BBB4699" wp14:editId="6A90339F">
            <wp:extent cx="6172200" cy="3038475"/>
            <wp:effectExtent l="0" t="0" r="0" b="0"/>
            <wp:docPr id="4"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0775" w:rsidRDefault="00AA0775" w:rsidP="00AA0775">
      <w:pPr>
        <w:jc w:val="both"/>
      </w:pPr>
    </w:p>
    <w:p w:rsidR="00AA0775" w:rsidRDefault="00AA0775" w:rsidP="00AA0775">
      <w:pPr>
        <w:jc w:val="center"/>
        <w:rPr>
          <w:b/>
        </w:rPr>
      </w:pPr>
      <w:r>
        <w:rPr>
          <w:b/>
        </w:rPr>
        <w:lastRenderedPageBreak/>
        <w:t>Трудоустройство выпускников средней  школы</w:t>
      </w:r>
    </w:p>
    <w:p w:rsidR="00AA0775" w:rsidRDefault="00AA0775" w:rsidP="00AA0775">
      <w:pPr>
        <w:jc w:val="both"/>
      </w:pPr>
    </w:p>
    <w:p w:rsidR="00AA0775" w:rsidRDefault="00AA0775" w:rsidP="00AA0775">
      <w:pPr>
        <w:jc w:val="both"/>
      </w:pPr>
    </w:p>
    <w:p w:rsidR="00AA0775" w:rsidRDefault="00AA0775" w:rsidP="00AA07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1473"/>
        <w:gridCol w:w="599"/>
        <w:gridCol w:w="656"/>
        <w:gridCol w:w="641"/>
        <w:gridCol w:w="656"/>
        <w:gridCol w:w="689"/>
        <w:gridCol w:w="657"/>
        <w:gridCol w:w="649"/>
        <w:gridCol w:w="637"/>
        <w:gridCol w:w="1080"/>
        <w:gridCol w:w="1058"/>
      </w:tblGrid>
      <w:tr w:rsidR="00AA0775" w:rsidTr="00AA0775">
        <w:tc>
          <w:tcPr>
            <w:tcW w:w="776" w:type="dxa"/>
            <w:vMerge w:val="restart"/>
            <w:tcBorders>
              <w:top w:val="single" w:sz="4" w:space="0" w:color="auto"/>
              <w:left w:val="single" w:sz="4" w:space="0" w:color="auto"/>
              <w:bottom w:val="single" w:sz="4" w:space="0" w:color="auto"/>
              <w:right w:val="single" w:sz="4" w:space="0" w:color="auto"/>
            </w:tcBorders>
            <w:hideMark/>
          </w:tcPr>
          <w:p w:rsidR="00AA0775" w:rsidRDefault="00AA0775">
            <w:pPr>
              <w:jc w:val="center"/>
              <w:rPr>
                <w:b/>
              </w:rPr>
            </w:pPr>
            <w:r>
              <w:rPr>
                <w:b/>
              </w:rPr>
              <w:t>Год</w:t>
            </w:r>
          </w:p>
        </w:tc>
        <w:tc>
          <w:tcPr>
            <w:tcW w:w="1478" w:type="dxa"/>
            <w:vMerge w:val="restart"/>
            <w:tcBorders>
              <w:top w:val="single" w:sz="4" w:space="0" w:color="auto"/>
              <w:left w:val="single" w:sz="4" w:space="0" w:color="auto"/>
              <w:bottom w:val="single" w:sz="4" w:space="0" w:color="auto"/>
              <w:right w:val="single" w:sz="4" w:space="0" w:color="auto"/>
            </w:tcBorders>
            <w:hideMark/>
          </w:tcPr>
          <w:p w:rsidR="00AA0775" w:rsidRDefault="00AA0775">
            <w:pPr>
              <w:jc w:val="center"/>
              <w:rPr>
                <w:b/>
              </w:rPr>
            </w:pPr>
            <w:r>
              <w:rPr>
                <w:b/>
              </w:rPr>
              <w:t>Общее количество</w:t>
            </w:r>
          </w:p>
        </w:tc>
        <w:tc>
          <w:tcPr>
            <w:tcW w:w="1294" w:type="dxa"/>
            <w:gridSpan w:val="2"/>
            <w:tcBorders>
              <w:top w:val="single" w:sz="4" w:space="0" w:color="auto"/>
              <w:left w:val="single" w:sz="4" w:space="0" w:color="auto"/>
              <w:bottom w:val="single" w:sz="4" w:space="0" w:color="auto"/>
              <w:right w:val="single" w:sz="4" w:space="0" w:color="auto"/>
            </w:tcBorders>
            <w:hideMark/>
          </w:tcPr>
          <w:p w:rsidR="00AA0775" w:rsidRDefault="00AA0775">
            <w:pPr>
              <w:jc w:val="center"/>
              <w:rPr>
                <w:b/>
              </w:rPr>
            </w:pPr>
            <w:r>
              <w:rPr>
                <w:b/>
              </w:rPr>
              <w:t>ВУЗ</w:t>
            </w:r>
          </w:p>
        </w:tc>
        <w:tc>
          <w:tcPr>
            <w:tcW w:w="1297" w:type="dxa"/>
            <w:gridSpan w:val="2"/>
            <w:tcBorders>
              <w:top w:val="single" w:sz="4" w:space="0" w:color="auto"/>
              <w:left w:val="single" w:sz="4" w:space="0" w:color="auto"/>
              <w:bottom w:val="single" w:sz="4" w:space="0" w:color="auto"/>
              <w:right w:val="single" w:sz="4" w:space="0" w:color="auto"/>
            </w:tcBorders>
            <w:hideMark/>
          </w:tcPr>
          <w:p w:rsidR="00AA0775" w:rsidRDefault="00AA0775">
            <w:pPr>
              <w:rPr>
                <w:b/>
              </w:rPr>
            </w:pPr>
            <w:r>
              <w:rPr>
                <w:b/>
              </w:rPr>
              <w:t>колледжи</w:t>
            </w:r>
          </w:p>
        </w:tc>
        <w:tc>
          <w:tcPr>
            <w:tcW w:w="1565" w:type="dxa"/>
            <w:gridSpan w:val="2"/>
            <w:tcBorders>
              <w:top w:val="single" w:sz="4" w:space="0" w:color="auto"/>
              <w:left w:val="single" w:sz="4" w:space="0" w:color="auto"/>
              <w:bottom w:val="single" w:sz="4" w:space="0" w:color="auto"/>
              <w:right w:val="single" w:sz="4" w:space="0" w:color="auto"/>
            </w:tcBorders>
            <w:hideMark/>
          </w:tcPr>
          <w:p w:rsidR="00AA0775" w:rsidRDefault="00AA0775">
            <w:pPr>
              <w:jc w:val="center"/>
              <w:rPr>
                <w:b/>
              </w:rPr>
            </w:pPr>
            <w:r>
              <w:rPr>
                <w:b/>
              </w:rPr>
              <w:t xml:space="preserve">ПШ, </w:t>
            </w:r>
            <w:proofErr w:type="gramStart"/>
            <w:r>
              <w:rPr>
                <w:b/>
              </w:rPr>
              <w:t>ПЛ</w:t>
            </w:r>
            <w:proofErr w:type="gramEnd"/>
          </w:p>
        </w:tc>
        <w:tc>
          <w:tcPr>
            <w:tcW w:w="1298" w:type="dxa"/>
            <w:gridSpan w:val="2"/>
            <w:tcBorders>
              <w:top w:val="single" w:sz="4" w:space="0" w:color="auto"/>
              <w:left w:val="single" w:sz="4" w:space="0" w:color="auto"/>
              <w:bottom w:val="single" w:sz="4" w:space="0" w:color="auto"/>
              <w:right w:val="single" w:sz="4" w:space="0" w:color="auto"/>
            </w:tcBorders>
            <w:hideMark/>
          </w:tcPr>
          <w:p w:rsidR="00AA0775" w:rsidRDefault="00AA0775">
            <w:pPr>
              <w:jc w:val="center"/>
              <w:rPr>
                <w:b/>
              </w:rPr>
            </w:pPr>
            <w:r>
              <w:rPr>
                <w:b/>
              </w:rPr>
              <w:t xml:space="preserve">Работают </w:t>
            </w:r>
          </w:p>
        </w:tc>
        <w:tc>
          <w:tcPr>
            <w:tcW w:w="2160" w:type="dxa"/>
            <w:gridSpan w:val="2"/>
            <w:tcBorders>
              <w:top w:val="single" w:sz="4" w:space="0" w:color="auto"/>
              <w:left w:val="single" w:sz="4" w:space="0" w:color="auto"/>
              <w:bottom w:val="single" w:sz="4" w:space="0" w:color="auto"/>
              <w:right w:val="single" w:sz="4" w:space="0" w:color="auto"/>
            </w:tcBorders>
            <w:hideMark/>
          </w:tcPr>
          <w:p w:rsidR="00AA0775" w:rsidRDefault="00AA0775">
            <w:pPr>
              <w:jc w:val="center"/>
              <w:rPr>
                <w:b/>
              </w:rPr>
            </w:pPr>
            <w:r>
              <w:rPr>
                <w:b/>
              </w:rPr>
              <w:t>Трудоустроилось</w:t>
            </w:r>
          </w:p>
        </w:tc>
      </w:tr>
      <w:tr w:rsidR="00AA0775" w:rsidTr="00AA0775">
        <w:trPr>
          <w:cantSplit/>
          <w:trHeight w:val="11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0775" w:rsidRDefault="00AA0775">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0775" w:rsidRDefault="00AA0775">
            <w:pPr>
              <w:rPr>
                <w:b/>
              </w:rPr>
            </w:pPr>
          </w:p>
        </w:tc>
        <w:tc>
          <w:tcPr>
            <w:tcW w:w="647" w:type="dxa"/>
            <w:tcBorders>
              <w:top w:val="single" w:sz="4" w:space="0" w:color="auto"/>
              <w:left w:val="single" w:sz="4" w:space="0" w:color="auto"/>
              <w:bottom w:val="single" w:sz="4" w:space="0" w:color="auto"/>
              <w:right w:val="single" w:sz="4" w:space="0" w:color="auto"/>
            </w:tcBorders>
            <w:textDirection w:val="btLr"/>
            <w:hideMark/>
          </w:tcPr>
          <w:p w:rsidR="00AA0775" w:rsidRDefault="00AA0775">
            <w:pPr>
              <w:ind w:right="113"/>
              <w:jc w:val="center"/>
            </w:pPr>
            <w:r>
              <w:t>количество</w:t>
            </w:r>
          </w:p>
        </w:tc>
        <w:tc>
          <w:tcPr>
            <w:tcW w:w="647" w:type="dxa"/>
            <w:tcBorders>
              <w:top w:val="single" w:sz="4" w:space="0" w:color="auto"/>
              <w:left w:val="single" w:sz="4" w:space="0" w:color="auto"/>
              <w:bottom w:val="single" w:sz="4" w:space="0" w:color="auto"/>
              <w:right w:val="single" w:sz="4" w:space="0" w:color="auto"/>
            </w:tcBorders>
          </w:tcPr>
          <w:p w:rsidR="00AA0775" w:rsidRDefault="00AA0775">
            <w:pPr>
              <w:jc w:val="center"/>
            </w:pPr>
          </w:p>
          <w:p w:rsidR="00AA0775" w:rsidRDefault="00AA0775">
            <w:pPr>
              <w:jc w:val="center"/>
            </w:pPr>
            <w:r>
              <w:t>%</w:t>
            </w:r>
          </w:p>
        </w:tc>
        <w:tc>
          <w:tcPr>
            <w:tcW w:w="648" w:type="dxa"/>
            <w:tcBorders>
              <w:top w:val="single" w:sz="4" w:space="0" w:color="auto"/>
              <w:left w:val="single" w:sz="4" w:space="0" w:color="auto"/>
              <w:bottom w:val="single" w:sz="4" w:space="0" w:color="auto"/>
              <w:right w:val="single" w:sz="4" w:space="0" w:color="auto"/>
            </w:tcBorders>
            <w:textDirection w:val="btLr"/>
            <w:hideMark/>
          </w:tcPr>
          <w:p w:rsidR="00AA0775" w:rsidRDefault="00AA0775">
            <w:pPr>
              <w:ind w:right="113"/>
              <w:jc w:val="center"/>
            </w:pPr>
            <w:r>
              <w:t>количество</w:t>
            </w:r>
          </w:p>
        </w:tc>
        <w:tc>
          <w:tcPr>
            <w:tcW w:w="649" w:type="dxa"/>
            <w:tcBorders>
              <w:top w:val="single" w:sz="4" w:space="0" w:color="auto"/>
              <w:left w:val="single" w:sz="4" w:space="0" w:color="auto"/>
              <w:bottom w:val="single" w:sz="4" w:space="0" w:color="auto"/>
              <w:right w:val="single" w:sz="4" w:space="0" w:color="auto"/>
            </w:tcBorders>
          </w:tcPr>
          <w:p w:rsidR="00AA0775" w:rsidRDefault="00AA0775">
            <w:pPr>
              <w:jc w:val="center"/>
            </w:pPr>
          </w:p>
          <w:p w:rsidR="00AA0775" w:rsidRDefault="00AA0775">
            <w:pPr>
              <w:jc w:val="center"/>
            </w:pPr>
            <w:r>
              <w:t>%</w:t>
            </w:r>
          </w:p>
        </w:tc>
        <w:tc>
          <w:tcPr>
            <w:tcW w:w="783" w:type="dxa"/>
            <w:tcBorders>
              <w:top w:val="single" w:sz="4" w:space="0" w:color="auto"/>
              <w:left w:val="single" w:sz="4" w:space="0" w:color="auto"/>
              <w:bottom w:val="single" w:sz="4" w:space="0" w:color="auto"/>
              <w:right w:val="single" w:sz="4" w:space="0" w:color="auto"/>
            </w:tcBorders>
            <w:textDirection w:val="btLr"/>
            <w:hideMark/>
          </w:tcPr>
          <w:p w:rsidR="00AA0775" w:rsidRDefault="00AA0775">
            <w:pPr>
              <w:ind w:right="113"/>
              <w:jc w:val="center"/>
            </w:pPr>
            <w:r>
              <w:t>количество</w:t>
            </w:r>
          </w:p>
        </w:tc>
        <w:tc>
          <w:tcPr>
            <w:tcW w:w="782" w:type="dxa"/>
            <w:tcBorders>
              <w:top w:val="single" w:sz="4" w:space="0" w:color="auto"/>
              <w:left w:val="single" w:sz="4" w:space="0" w:color="auto"/>
              <w:bottom w:val="single" w:sz="4" w:space="0" w:color="auto"/>
              <w:right w:val="single" w:sz="4" w:space="0" w:color="auto"/>
            </w:tcBorders>
          </w:tcPr>
          <w:p w:rsidR="00AA0775" w:rsidRDefault="00AA0775">
            <w:pPr>
              <w:jc w:val="center"/>
            </w:pPr>
          </w:p>
          <w:p w:rsidR="00AA0775" w:rsidRDefault="00AA0775">
            <w:pPr>
              <w:jc w:val="center"/>
            </w:pPr>
            <w:r>
              <w:t>%</w:t>
            </w:r>
          </w:p>
        </w:tc>
        <w:tc>
          <w:tcPr>
            <w:tcW w:w="649" w:type="dxa"/>
            <w:tcBorders>
              <w:top w:val="single" w:sz="4" w:space="0" w:color="auto"/>
              <w:left w:val="single" w:sz="4" w:space="0" w:color="auto"/>
              <w:bottom w:val="single" w:sz="4" w:space="0" w:color="auto"/>
              <w:right w:val="single" w:sz="4" w:space="0" w:color="auto"/>
            </w:tcBorders>
            <w:textDirection w:val="btLr"/>
            <w:hideMark/>
          </w:tcPr>
          <w:p w:rsidR="00AA0775" w:rsidRDefault="00AA0775">
            <w:pPr>
              <w:ind w:right="113"/>
              <w:jc w:val="center"/>
            </w:pPr>
            <w:r>
              <w:t>количество</w:t>
            </w:r>
          </w:p>
        </w:tc>
        <w:tc>
          <w:tcPr>
            <w:tcW w:w="649" w:type="dxa"/>
            <w:tcBorders>
              <w:top w:val="single" w:sz="4" w:space="0" w:color="auto"/>
              <w:left w:val="single" w:sz="4" w:space="0" w:color="auto"/>
              <w:bottom w:val="single" w:sz="4" w:space="0" w:color="auto"/>
              <w:right w:val="single" w:sz="4" w:space="0" w:color="auto"/>
            </w:tcBorders>
          </w:tcPr>
          <w:p w:rsidR="00AA0775" w:rsidRDefault="00AA0775">
            <w:pPr>
              <w:jc w:val="center"/>
            </w:pPr>
          </w:p>
          <w:p w:rsidR="00AA0775" w:rsidRDefault="00AA0775">
            <w:pPr>
              <w:jc w:val="center"/>
            </w:pPr>
            <w:r>
              <w:t>%</w:t>
            </w:r>
          </w:p>
        </w:tc>
        <w:tc>
          <w:tcPr>
            <w:tcW w:w="1080" w:type="dxa"/>
            <w:tcBorders>
              <w:top w:val="single" w:sz="4" w:space="0" w:color="auto"/>
              <w:left w:val="single" w:sz="4" w:space="0" w:color="auto"/>
              <w:bottom w:val="single" w:sz="4" w:space="0" w:color="auto"/>
              <w:right w:val="single" w:sz="4" w:space="0" w:color="auto"/>
            </w:tcBorders>
            <w:textDirection w:val="btLr"/>
            <w:hideMark/>
          </w:tcPr>
          <w:p w:rsidR="00AA0775" w:rsidRDefault="00AA0775">
            <w:pPr>
              <w:ind w:right="113"/>
              <w:jc w:val="center"/>
            </w:pPr>
            <w:r>
              <w:t>количество</w:t>
            </w:r>
          </w:p>
        </w:tc>
        <w:tc>
          <w:tcPr>
            <w:tcW w:w="1080" w:type="dxa"/>
            <w:tcBorders>
              <w:top w:val="single" w:sz="4" w:space="0" w:color="auto"/>
              <w:left w:val="single" w:sz="4" w:space="0" w:color="auto"/>
              <w:bottom w:val="single" w:sz="4" w:space="0" w:color="auto"/>
              <w:right w:val="single" w:sz="4" w:space="0" w:color="auto"/>
            </w:tcBorders>
          </w:tcPr>
          <w:p w:rsidR="00AA0775" w:rsidRDefault="00AA0775">
            <w:pPr>
              <w:jc w:val="center"/>
            </w:pPr>
          </w:p>
          <w:p w:rsidR="00AA0775" w:rsidRDefault="00AA0775">
            <w:pPr>
              <w:jc w:val="center"/>
            </w:pPr>
            <w:r>
              <w:t>%</w:t>
            </w:r>
          </w:p>
        </w:tc>
      </w:tr>
      <w:tr w:rsidR="00AA0775" w:rsidTr="00AA0775">
        <w:tc>
          <w:tcPr>
            <w:tcW w:w="776"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2012-2013</w:t>
            </w:r>
          </w:p>
        </w:tc>
        <w:tc>
          <w:tcPr>
            <w:tcW w:w="1478"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69</w:t>
            </w:r>
          </w:p>
        </w:tc>
        <w:tc>
          <w:tcPr>
            <w:tcW w:w="647"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56</w:t>
            </w:r>
          </w:p>
        </w:tc>
        <w:tc>
          <w:tcPr>
            <w:tcW w:w="647"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81%</w:t>
            </w:r>
          </w:p>
        </w:tc>
        <w:tc>
          <w:tcPr>
            <w:tcW w:w="648"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13</w:t>
            </w:r>
          </w:p>
        </w:tc>
        <w:tc>
          <w:tcPr>
            <w:tcW w:w="649"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19%</w:t>
            </w:r>
          </w:p>
        </w:tc>
        <w:tc>
          <w:tcPr>
            <w:tcW w:w="783"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0</w:t>
            </w:r>
          </w:p>
        </w:tc>
        <w:tc>
          <w:tcPr>
            <w:tcW w:w="782"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0</w:t>
            </w:r>
          </w:p>
        </w:tc>
        <w:tc>
          <w:tcPr>
            <w:tcW w:w="649"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0</w:t>
            </w:r>
          </w:p>
        </w:tc>
        <w:tc>
          <w:tcPr>
            <w:tcW w:w="649"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0</w:t>
            </w:r>
          </w:p>
        </w:tc>
        <w:tc>
          <w:tcPr>
            <w:tcW w:w="1080" w:type="dxa"/>
            <w:tcBorders>
              <w:top w:val="single" w:sz="4" w:space="0" w:color="auto"/>
              <w:left w:val="single" w:sz="4" w:space="0" w:color="auto"/>
              <w:bottom w:val="single" w:sz="4" w:space="0" w:color="auto"/>
              <w:right w:val="single" w:sz="4" w:space="0" w:color="auto"/>
            </w:tcBorders>
            <w:hideMark/>
          </w:tcPr>
          <w:p w:rsidR="00AA0775" w:rsidRDefault="00AA0775">
            <w:r>
              <w:t>69</w:t>
            </w:r>
          </w:p>
        </w:tc>
        <w:tc>
          <w:tcPr>
            <w:tcW w:w="1080" w:type="dxa"/>
            <w:tcBorders>
              <w:top w:val="single" w:sz="4" w:space="0" w:color="auto"/>
              <w:left w:val="single" w:sz="4" w:space="0" w:color="auto"/>
              <w:bottom w:val="single" w:sz="4" w:space="0" w:color="auto"/>
              <w:right w:val="single" w:sz="4" w:space="0" w:color="auto"/>
            </w:tcBorders>
            <w:hideMark/>
          </w:tcPr>
          <w:p w:rsidR="00AA0775" w:rsidRDefault="00AA0775">
            <w:pPr>
              <w:jc w:val="center"/>
            </w:pPr>
            <w:r>
              <w:t xml:space="preserve">100% </w:t>
            </w:r>
          </w:p>
        </w:tc>
      </w:tr>
    </w:tbl>
    <w:p w:rsidR="00AA0775" w:rsidRDefault="00AA0775" w:rsidP="00AA0775">
      <w:pPr>
        <w:jc w:val="both"/>
        <w:rPr>
          <w:b/>
        </w:rPr>
      </w:pPr>
    </w:p>
    <w:p w:rsidR="00AA0775" w:rsidRDefault="00AA0775" w:rsidP="00AA0775">
      <w:pPr>
        <w:jc w:val="both"/>
        <w:rPr>
          <w:b/>
        </w:rPr>
      </w:pPr>
    </w:p>
    <w:p w:rsidR="00AA0775" w:rsidRDefault="00AA0775" w:rsidP="00AA0775">
      <w:pPr>
        <w:ind w:left="360"/>
        <w:jc w:val="both"/>
        <w:rPr>
          <w:b/>
        </w:rPr>
      </w:pPr>
      <w:r>
        <w:rPr>
          <w:b/>
        </w:rPr>
        <w:t xml:space="preserve"> </w:t>
      </w:r>
    </w:p>
    <w:p w:rsidR="00AA0775" w:rsidRDefault="00AA0775" w:rsidP="00AA0775">
      <w:pPr>
        <w:ind w:left="360"/>
        <w:jc w:val="both"/>
        <w:rPr>
          <w:b/>
        </w:rPr>
      </w:pPr>
    </w:p>
    <w:p w:rsidR="00AA0775" w:rsidRDefault="00AA0775" w:rsidP="00AA0775">
      <w:pPr>
        <w:ind w:left="360"/>
        <w:jc w:val="both"/>
        <w:rPr>
          <w:b/>
        </w:rPr>
      </w:pPr>
    </w:p>
    <w:p w:rsidR="00AA0775" w:rsidRDefault="00AA0775" w:rsidP="00AA0775">
      <w:pPr>
        <w:ind w:left="360"/>
        <w:jc w:val="both"/>
        <w:rPr>
          <w:b/>
        </w:rPr>
      </w:pPr>
    </w:p>
    <w:p w:rsidR="00AA0775" w:rsidRDefault="00AA0775" w:rsidP="00AA0775">
      <w:pPr>
        <w:ind w:left="360"/>
        <w:jc w:val="both"/>
        <w:rPr>
          <w:b/>
        </w:rPr>
      </w:pPr>
      <w:r>
        <w:rPr>
          <w:noProof/>
        </w:rPr>
        <w:drawing>
          <wp:inline distT="0" distB="0" distL="0" distR="0" wp14:anchorId="66F3DEA5" wp14:editId="34B143F9">
            <wp:extent cx="6267450" cy="3438525"/>
            <wp:effectExtent l="0" t="0" r="0" b="0"/>
            <wp:docPr id="5"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A0775" w:rsidRDefault="00AA0775" w:rsidP="00AA0775">
      <w:pPr>
        <w:jc w:val="both"/>
        <w:rPr>
          <w:b/>
        </w:rPr>
      </w:pPr>
    </w:p>
    <w:p w:rsidR="00AA0775" w:rsidRDefault="00AA0775" w:rsidP="00AA0775">
      <w:pPr>
        <w:ind w:left="360"/>
        <w:jc w:val="both"/>
        <w:rPr>
          <w:b/>
        </w:rPr>
      </w:pPr>
    </w:p>
    <w:p w:rsidR="00AA0775" w:rsidRDefault="00AA0775" w:rsidP="00AA0775">
      <w:pPr>
        <w:ind w:left="360"/>
        <w:jc w:val="both"/>
        <w:rPr>
          <w:b/>
        </w:rPr>
      </w:pPr>
      <w:r>
        <w:t>Мониторинг трудоустройства показывает, что выпускники основной школы  определяют для дальнейшего образования школы и колледжи, что доказывает сознательный выбор дальнейшей профессиональной деятельности</w:t>
      </w:r>
      <w:r>
        <w:rPr>
          <w:b/>
        </w:rPr>
        <w:t>.</w:t>
      </w:r>
    </w:p>
    <w:p w:rsidR="00AA0775" w:rsidRDefault="00AA0775" w:rsidP="00AA0775">
      <w:pPr>
        <w:ind w:left="360"/>
        <w:jc w:val="both"/>
        <w:rPr>
          <w:b/>
        </w:rPr>
      </w:pPr>
    </w:p>
    <w:p w:rsidR="00AA0775" w:rsidRDefault="00AA0775" w:rsidP="00AA0775">
      <w:pPr>
        <w:jc w:val="both"/>
        <w:rPr>
          <w:b/>
        </w:rPr>
      </w:pPr>
    </w:p>
    <w:p w:rsidR="00AA0775" w:rsidRDefault="00AA0775" w:rsidP="00AA0775">
      <w:pPr>
        <w:jc w:val="both"/>
        <w:rPr>
          <w:b/>
        </w:rPr>
      </w:pPr>
    </w:p>
    <w:p w:rsidR="00AA0775" w:rsidRDefault="00AA0775" w:rsidP="00AA0775">
      <w:pPr>
        <w:ind w:firstLine="708"/>
        <w:rPr>
          <w:sz w:val="28"/>
          <w:szCs w:val="28"/>
        </w:rPr>
      </w:pPr>
    </w:p>
    <w:p w:rsidR="00AA0775" w:rsidRDefault="00AA0775" w:rsidP="00AA0775">
      <w:pPr>
        <w:ind w:firstLine="708"/>
        <w:rPr>
          <w:sz w:val="28"/>
          <w:szCs w:val="28"/>
        </w:rPr>
      </w:pPr>
    </w:p>
    <w:p w:rsidR="00AA0775" w:rsidRDefault="00AA0775" w:rsidP="00AA0775">
      <w:pPr>
        <w:ind w:firstLine="708"/>
        <w:rPr>
          <w:sz w:val="28"/>
          <w:szCs w:val="28"/>
        </w:rPr>
      </w:pPr>
    </w:p>
    <w:p w:rsidR="00AA0775" w:rsidRDefault="00AA0775" w:rsidP="00AA0775">
      <w:pPr>
        <w:ind w:firstLine="708"/>
        <w:rPr>
          <w:sz w:val="28"/>
          <w:szCs w:val="28"/>
        </w:rPr>
      </w:pPr>
    </w:p>
    <w:p w:rsidR="00AA0775" w:rsidRDefault="00AA0775" w:rsidP="00AA0775">
      <w:pPr>
        <w:ind w:firstLine="708"/>
        <w:rPr>
          <w:sz w:val="28"/>
          <w:szCs w:val="28"/>
        </w:rPr>
      </w:pPr>
    </w:p>
    <w:p w:rsidR="00336389" w:rsidRDefault="00336389" w:rsidP="00AA0775">
      <w:pPr>
        <w:ind w:firstLine="708"/>
        <w:rPr>
          <w:sz w:val="28"/>
          <w:szCs w:val="28"/>
        </w:rPr>
      </w:pPr>
    </w:p>
    <w:p w:rsidR="00336389" w:rsidRDefault="00336389" w:rsidP="00AA0775">
      <w:pPr>
        <w:rPr>
          <w:b/>
        </w:rPr>
      </w:pPr>
    </w:p>
    <w:p w:rsidR="00AA0775" w:rsidRDefault="00AA0775" w:rsidP="00AA0775">
      <w:pPr>
        <w:numPr>
          <w:ilvl w:val="0"/>
          <w:numId w:val="7"/>
        </w:numPr>
        <w:jc w:val="both"/>
        <w:rPr>
          <w:b/>
        </w:rPr>
      </w:pPr>
      <w:r>
        <w:rPr>
          <w:b/>
        </w:rPr>
        <w:t>Ключевые проблемы, связанные с будущей организацией учебно-воспитательного процесса в школе.</w:t>
      </w:r>
    </w:p>
    <w:p w:rsidR="00AA0775" w:rsidRDefault="00AA0775" w:rsidP="00AA0775">
      <w:pPr>
        <w:ind w:left="360" w:hanging="360"/>
        <w:jc w:val="both"/>
      </w:pPr>
      <w:r>
        <w:t xml:space="preserve">        1. Структура, содержание, программно-методическое, информационное обеспечение, применяемые технологии, формы, методы учебно-воспитательного процесса не в полной мере соответствуют концептуальным основам личностно-ориентированного, </w:t>
      </w:r>
      <w:proofErr w:type="spellStart"/>
      <w:r>
        <w:t>компетентностного</w:t>
      </w:r>
      <w:proofErr w:type="spellEnd"/>
      <w:r>
        <w:t xml:space="preserve"> подходов, индивидуализации образования, ориентированного на результат. Индивидуальные образовательные программы для учащихся старшего звена школы только начали апробироваться в школе. Индивидуализация образования не охватила полностью все звенья школы. Разрыв составляет 40%, поэтому система внедрения личностно-ориентированного образования, индивидуализация процесса обучения в профильной школе, воспитания, развития является ключевой проблемой школы и по рангу является первой. Тем более</w:t>
      </w:r>
      <w:proofErr w:type="gramStart"/>
      <w:r>
        <w:t>,</w:t>
      </w:r>
      <w:proofErr w:type="gramEnd"/>
      <w:r>
        <w:t xml:space="preserve"> что школа вплотную подошла к последовательному практическому решению этой проблем</w:t>
      </w:r>
      <w:bookmarkStart w:id="0" w:name="_GoBack"/>
      <w:bookmarkEnd w:id="0"/>
      <w:r>
        <w:t xml:space="preserve">ы, для этого уже созданы необходимые условия, соответствующее ресурсное обеспечение. В связи с предстоящим переходом на 12-летнее обучение возникает проблема создания системы психолого-педагогического сопровождения учащихся с 1-го по 12 класс, создание специальной психолого-педагогической службы, отвечающей за этот сложный, многофункциональный, тонкий, деликатный процесс образовательной деятельности школы. </w:t>
      </w:r>
    </w:p>
    <w:p w:rsidR="00AA0775" w:rsidRDefault="00AA0775" w:rsidP="00AA0775">
      <w:pPr>
        <w:ind w:left="360" w:hanging="360"/>
        <w:jc w:val="both"/>
      </w:pPr>
      <w:r>
        <w:tab/>
        <w:t>Переход на 12-тилетнее образование  требует коренного  пересмотра подходов к организации УВП, внедрение новых подходов, пересмотр системы оценивания учебных достижений учащихся. Кроме того, необходимо совершенствование системы комплексного мониторинга профильной 12-летней школы, развитие материально – технической базы.</w:t>
      </w:r>
    </w:p>
    <w:p w:rsidR="00AA0775" w:rsidRDefault="00AA0775" w:rsidP="00AA0775">
      <w:pPr>
        <w:ind w:left="360" w:hanging="360"/>
        <w:jc w:val="both"/>
      </w:pPr>
      <w:r>
        <w:tab/>
        <w:t xml:space="preserve">Требуется создание эффективной системы </w:t>
      </w:r>
      <w:proofErr w:type="spellStart"/>
      <w:r>
        <w:t>предпрофильного</w:t>
      </w:r>
      <w:proofErr w:type="spellEnd"/>
      <w:r>
        <w:t xml:space="preserve"> и профильного обучения.</w:t>
      </w:r>
    </w:p>
    <w:p w:rsidR="00AA0775" w:rsidRDefault="00AA0775" w:rsidP="00AA0775">
      <w:pPr>
        <w:numPr>
          <w:ilvl w:val="0"/>
          <w:numId w:val="7"/>
        </w:numPr>
        <w:tabs>
          <w:tab w:val="num" w:pos="360"/>
        </w:tabs>
        <w:ind w:left="426" w:firstLine="426"/>
        <w:jc w:val="both"/>
      </w:pPr>
      <w:r>
        <w:t>Новые социально-экономические условия, приоритеты развивающей парадигмы образования, анализ социального заказа рынка труда, семей учащихся выявили проблему создания непрерывной, целостной системы комплексного развития и воспитания учащихся (физического развития, сохранения и укрепления здоровья, психического развития, социально-личностного, духовно-нравственного, трудового воспитания и развития).</w:t>
      </w:r>
    </w:p>
    <w:p w:rsidR="00AA0775" w:rsidRDefault="00AA0775" w:rsidP="00AA0775">
      <w:pPr>
        <w:tabs>
          <w:tab w:val="num" w:pos="360"/>
        </w:tabs>
        <w:ind w:left="426" w:firstLine="426"/>
        <w:jc w:val="both"/>
      </w:pPr>
      <w:r>
        <w:t>Разрыв между желаемыми критериями и показателями по отдельным компонентам     комплексного развития и воспитания и реальными по школе составляет от 20%  до    30%. По рангу она является второй.</w:t>
      </w:r>
    </w:p>
    <w:p w:rsidR="00AA0775" w:rsidRDefault="00AA0775" w:rsidP="00AA0775">
      <w:pPr>
        <w:numPr>
          <w:ilvl w:val="0"/>
          <w:numId w:val="7"/>
        </w:numPr>
        <w:tabs>
          <w:tab w:val="num" w:pos="360"/>
        </w:tabs>
        <w:ind w:left="426" w:firstLine="426"/>
        <w:jc w:val="both"/>
      </w:pPr>
      <w:r>
        <w:t>Проблема качественной подготовки учащихся основного уровня образования к ВОУД, участию в международных исследованиях, общего среднего уровня образования к успешной сдаче ЕНТ является одной из ключевых на будущую пятилетку.</w:t>
      </w:r>
    </w:p>
    <w:p w:rsidR="00AA0775" w:rsidRDefault="00336389" w:rsidP="00336389">
      <w:pPr>
        <w:jc w:val="both"/>
        <w:rPr>
          <w:b/>
        </w:rPr>
      </w:pPr>
      <w:r>
        <w:rPr>
          <w:b/>
        </w:rPr>
        <w:t xml:space="preserve">2. </w:t>
      </w:r>
      <w:r w:rsidR="00AA0775">
        <w:rPr>
          <w:b/>
        </w:rPr>
        <w:t>Ключевые проблемы, связанные с ресурсным обеспечением, необходимым для перевода школы в новое состояние.</w:t>
      </w:r>
    </w:p>
    <w:p w:rsidR="00AA0775" w:rsidRDefault="00AA0775" w:rsidP="00AA0775">
      <w:pPr>
        <w:jc w:val="both"/>
      </w:pPr>
      <w:r>
        <w:t xml:space="preserve">          Анализ ресурсного обеспечения выявил определенные противоречия:</w:t>
      </w:r>
    </w:p>
    <w:p w:rsidR="00AA0775" w:rsidRDefault="00AA0775" w:rsidP="00AA0775">
      <w:pPr>
        <w:jc w:val="both"/>
      </w:pPr>
      <w:r>
        <w:t>- между уровнем профессиональной подготовки педагогических кадров и требуемой профессиональной компетентностью педагогов для работы в режиме развивающей парадигмы, учителям, имеющим солидный педагогический стаж, а их в школе большинство, педагогам пенсионного возраста очень трудно перестроить себя на работу в новых условиях. Требуется индивидуальная работа со стороны администрации школы с каждым членом педагогического коллектива в этом направлении;</w:t>
      </w:r>
    </w:p>
    <w:p w:rsidR="00AA0775" w:rsidRDefault="00AA0775" w:rsidP="00AA0775">
      <w:pPr>
        <w:jc w:val="both"/>
      </w:pPr>
      <w:r>
        <w:t xml:space="preserve">- между требуемой предметно-развивающей средой и имеющейся ситуацией в настоящее время в школе и окружающем социуме. Если для выполнения стандартов образования в школе есть все необходимое, то для успешной реализации индивидуальных образовательных программ, создания ситуации выбора, индивидуальных стратегий при </w:t>
      </w:r>
      <w:r>
        <w:lastRenderedPageBreak/>
        <w:t>выполнении учебных заданий, реализации социальных и творческих проектов требуется широкая вариативная предметно-развивающая среда. Уровень разрыва в среднем составляет 25% - 30%, хотя в отдельных аспектах разрыв составляет 5-10%.</w:t>
      </w:r>
    </w:p>
    <w:p w:rsidR="00AA0775" w:rsidRDefault="00AA0775" w:rsidP="00AA0775">
      <w:pPr>
        <w:jc w:val="both"/>
        <w:rPr>
          <w:b/>
        </w:rPr>
      </w:pPr>
      <w:r>
        <w:rPr>
          <w:b/>
        </w:rPr>
        <w:t>3. Ключевые проблемы, связанные с изменением качества управления школой при переходе ее в новое состояние.</w:t>
      </w:r>
    </w:p>
    <w:p w:rsidR="00AA0775" w:rsidRDefault="00AA0775" w:rsidP="00AA0775">
      <w:pPr>
        <w:numPr>
          <w:ilvl w:val="0"/>
          <w:numId w:val="9"/>
        </w:numPr>
        <w:ind w:left="0" w:firstLine="0"/>
        <w:jc w:val="both"/>
      </w:pPr>
      <w:r>
        <w:t xml:space="preserve">Для эффективного развития школы, успешного перевода ее в новое состояние необходимо решить проблему создания новой концепции управления школой, так как существуют определенные разрывы: </w:t>
      </w:r>
    </w:p>
    <w:p w:rsidR="00AA0775" w:rsidRDefault="00AA0775" w:rsidP="00AA0775">
      <w:pPr>
        <w:ind w:right="-365"/>
        <w:jc w:val="both"/>
      </w:pPr>
      <w:r>
        <w:t>- между желаемыми, требуемыми принципами управления, общей ориентацией управления и существующими принципами, общей ориентацией, которой руководствуется администрация школы на сегодняшний день;</w:t>
      </w:r>
    </w:p>
    <w:p w:rsidR="00AA0775" w:rsidRDefault="00AA0775" w:rsidP="00AA0775">
      <w:pPr>
        <w:ind w:right="-365"/>
        <w:jc w:val="both"/>
      </w:pPr>
      <w:r>
        <w:t>- между новыми функциями, содержанием управления и прежним набором существующих функций, содержанием управления;</w:t>
      </w:r>
    </w:p>
    <w:p w:rsidR="00AA0775" w:rsidRDefault="00AA0775" w:rsidP="00AA0775">
      <w:pPr>
        <w:ind w:right="-365"/>
        <w:jc w:val="both"/>
      </w:pPr>
      <w:r>
        <w:t xml:space="preserve">- между новыми технологиями, механизмами управления и традиционными технологиями, </w:t>
      </w:r>
      <w:proofErr w:type="gramStart"/>
      <w:r>
        <w:t>механизмами</w:t>
      </w:r>
      <w:proofErr w:type="gramEnd"/>
      <w:r>
        <w:t xml:space="preserve"> существующими в школе;</w:t>
      </w:r>
    </w:p>
    <w:p w:rsidR="00AA0775" w:rsidRDefault="00AA0775" w:rsidP="00AA0775">
      <w:pPr>
        <w:ind w:right="-365"/>
        <w:jc w:val="both"/>
      </w:pPr>
      <w:r>
        <w:t>- между набором критериев, показателей, которые необходимы для обеспечения качества будущей управленческой деятельности и имеющимися в арсенале наборами критериев и показателей.</w:t>
      </w:r>
    </w:p>
    <w:p w:rsidR="00AA0775" w:rsidRDefault="00AA0775" w:rsidP="00AA0775">
      <w:pPr>
        <w:ind w:right="-365"/>
        <w:jc w:val="both"/>
      </w:pPr>
      <w:r>
        <w:t xml:space="preserve">2. Второй важной проблемой изменения качества управления школой является активное привлечение родителей, других социальных партнеров в образовательную деятельность школы. </w:t>
      </w:r>
    </w:p>
    <w:p w:rsidR="00AA0775" w:rsidRDefault="00AA0775" w:rsidP="00AA0775">
      <w:pPr>
        <w:ind w:right="-365"/>
        <w:jc w:val="both"/>
      </w:pPr>
      <w:r>
        <w:t xml:space="preserve">       Анализ желаемого и действительного состояния дел выявил разрывы:</w:t>
      </w:r>
    </w:p>
    <w:p w:rsidR="00AA0775" w:rsidRDefault="00AA0775" w:rsidP="00AA0775">
      <w:pPr>
        <w:ind w:right="-365"/>
        <w:jc w:val="both"/>
      </w:pPr>
      <w:r>
        <w:t xml:space="preserve">- между желаемым количеством родителей, способным активно заниматься обучением, воспитанием и развитием своих детей, участвовать в управлении школой, оказывать действенную помощь школе и реальным количеством </w:t>
      </w:r>
      <w:proofErr w:type="gramStart"/>
      <w:r>
        <w:t>родителей</w:t>
      </w:r>
      <w:proofErr w:type="gramEnd"/>
      <w:r>
        <w:t xml:space="preserve"> на которых школа опирается в образовательной деятельности. Он в среднем составляет 20-25%. Есть определенный процент родителей равнодушных к образованию своих детей, не участвующих в делах школы и около 10 % родителей, которые негативно влияют на воспитание и развитие своих детей;</w:t>
      </w:r>
    </w:p>
    <w:p w:rsidR="00AA0775" w:rsidRDefault="00AA0775" w:rsidP="00AA0775">
      <w:pPr>
        <w:ind w:right="-365"/>
        <w:jc w:val="both"/>
      </w:pPr>
      <w:r>
        <w:t>- между требуемыми и желаемыми партнерскими отношениями с другими социальными партнерами, основанными на хорошо разработанной нормативно-правовой базе, точном выполнении взятых на себя взаимных обязательств и реальном положении дел в этом направлении деятельности.</w:t>
      </w:r>
    </w:p>
    <w:p w:rsidR="00AA0775" w:rsidRDefault="00AA0775" w:rsidP="00AA0775">
      <w:pPr>
        <w:ind w:right="-365"/>
        <w:jc w:val="both"/>
      </w:pPr>
      <w:r>
        <w:t xml:space="preserve">Результаты образовательной деятельности школы во многом зависят от четкой, скоординированной работы всех служб в работе, отвечающих за жизнедеятельность школы, </w:t>
      </w:r>
      <w:proofErr w:type="spellStart"/>
      <w:r>
        <w:t>скоординированность</w:t>
      </w:r>
      <w:proofErr w:type="spellEnd"/>
      <w:r>
        <w:t xml:space="preserve"> действий школы и других образовательных учреждений, служб, занимающихся созданием условий успешной образовательной деятельности школы.</w:t>
      </w:r>
    </w:p>
    <w:p w:rsidR="00336389" w:rsidRDefault="00336389" w:rsidP="00AA0775">
      <w:pPr>
        <w:ind w:right="-365"/>
        <w:jc w:val="both"/>
        <w:rPr>
          <w:b/>
        </w:rPr>
      </w:pPr>
    </w:p>
    <w:p w:rsidR="00AA0775" w:rsidRDefault="00AA0775" w:rsidP="00AA0775">
      <w:pPr>
        <w:ind w:right="-365"/>
        <w:jc w:val="both"/>
      </w:pPr>
      <w:r>
        <w:rPr>
          <w:b/>
        </w:rPr>
        <w:t>3.3. Причины проблем.</w:t>
      </w:r>
    </w:p>
    <w:p w:rsidR="00AA0775" w:rsidRDefault="00AA0775" w:rsidP="00AA0775">
      <w:pPr>
        <w:jc w:val="both"/>
      </w:pPr>
      <w:r>
        <w:t>1. Изменение социально-экономической ситуации в Республике Казахстан, политики государства по приоритетам образования на период до 2020 года.</w:t>
      </w:r>
    </w:p>
    <w:p w:rsidR="00AA0775" w:rsidRDefault="00AA0775" w:rsidP="00AA0775">
      <w:pPr>
        <w:jc w:val="both"/>
      </w:pPr>
      <w:r>
        <w:t>2. Изменение образовательных потребностей социума, рынка труда, родителей учащихся по сравнению с предыдущим периодом образовательной деятельности школы.</w:t>
      </w:r>
    </w:p>
    <w:p w:rsidR="00AA0775" w:rsidRDefault="00AA0775" w:rsidP="00AA0775">
      <w:pPr>
        <w:jc w:val="both"/>
      </w:pPr>
      <w:r>
        <w:t xml:space="preserve">3.   Работа администрации школы, педагогического коллектива, в основном, в режиме функционирования, а не развития. </w:t>
      </w:r>
    </w:p>
    <w:p w:rsidR="00AA0775" w:rsidRDefault="00AA0775" w:rsidP="00AA0775">
      <w:pPr>
        <w:rPr>
          <w:b/>
        </w:rPr>
      </w:pPr>
      <w:r>
        <w:rPr>
          <w:b/>
        </w:rPr>
        <w:t>3.4. Краткие аналитические выводы:</w:t>
      </w:r>
    </w:p>
    <w:p w:rsidR="00AA0775" w:rsidRDefault="00AA0775" w:rsidP="00AA0775">
      <w:pPr>
        <w:ind w:right="-365"/>
        <w:jc w:val="both"/>
      </w:pPr>
      <w:r>
        <w:t>Ключевые проблемы, которые придется решать школе при переводе ее в новое состояние:</w:t>
      </w:r>
    </w:p>
    <w:p w:rsidR="00AA0775" w:rsidRDefault="00AA0775" w:rsidP="00AA0775">
      <w:pPr>
        <w:ind w:right="-365"/>
        <w:jc w:val="both"/>
      </w:pPr>
      <w:r>
        <w:t>1. Системное внедрение личностно-ориентированного образования, основанного на реализации новых подходов в организации УВП, в вопросах изменения системы оценивания учебных достижений учащихся, в вопросах  воспитания и развития учащихся.</w:t>
      </w:r>
    </w:p>
    <w:p w:rsidR="00AA0775" w:rsidRDefault="00AA0775" w:rsidP="00AA0775">
      <w:pPr>
        <w:ind w:right="-365"/>
        <w:jc w:val="both"/>
      </w:pPr>
      <w:r>
        <w:t>2. Разработка целостной программы качественной подготовки учащихся по успешной сдаче ВОУД и ЕНТ.</w:t>
      </w:r>
    </w:p>
    <w:p w:rsidR="00AA0775" w:rsidRDefault="00AA0775" w:rsidP="00AA0775">
      <w:pPr>
        <w:ind w:right="-365"/>
        <w:jc w:val="both"/>
      </w:pPr>
      <w:r>
        <w:lastRenderedPageBreak/>
        <w:t xml:space="preserve">3. Создание и апробация комплексной </w:t>
      </w:r>
      <w:proofErr w:type="spellStart"/>
      <w:r>
        <w:t>воспитательно</w:t>
      </w:r>
      <w:proofErr w:type="spellEnd"/>
      <w:r>
        <w:t>-развивающей системы школы, включающей в себя: социализацию выпускников, физическое развитие, сохранение и укрепление здоровья, психическое, социально-личностное, духовно-нравственное, трудовое воспитание и развитие, подготовку детей к осознанному жизненному и профессиональному самоопределению.</w:t>
      </w:r>
    </w:p>
    <w:p w:rsidR="00AA0775" w:rsidRDefault="00AA0775" w:rsidP="00AA0775">
      <w:pPr>
        <w:ind w:right="-365"/>
        <w:jc w:val="both"/>
      </w:pPr>
      <w:r>
        <w:t>4. Разработка программы психолого-педагогического сопровождения учащихся 1-12 классов в процессе получения ими общего среднего образования.</w:t>
      </w:r>
    </w:p>
    <w:p w:rsidR="00AA0775" w:rsidRDefault="00AA0775" w:rsidP="00AA0775">
      <w:pPr>
        <w:jc w:val="both"/>
      </w:pPr>
      <w:r>
        <w:t>5. Создание необходимого программно-методического, информационного, нормативно-правового, кадрового, материально-технического, финансового обеспечения для решения вышеизложенных проблем.</w:t>
      </w:r>
    </w:p>
    <w:p w:rsidR="00AA0775" w:rsidRDefault="00AA0775" w:rsidP="00AA0775">
      <w:pPr>
        <w:jc w:val="both"/>
      </w:pPr>
      <w:r>
        <w:t>Создание новой концептуальной основы качества управления школой.</w:t>
      </w:r>
    </w:p>
    <w:p w:rsidR="00A658CD" w:rsidRDefault="00A658CD"/>
    <w:sectPr w:rsidR="00A658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254D3"/>
    <w:multiLevelType w:val="hybridMultilevel"/>
    <w:tmpl w:val="C68ECA78"/>
    <w:lvl w:ilvl="0" w:tplc="6AD87730">
      <w:start w:val="2"/>
      <w:numFmt w:val="upperRoman"/>
      <w:lvlText w:val="%1."/>
      <w:lvlJc w:val="left"/>
      <w:pPr>
        <w:tabs>
          <w:tab w:val="num" w:pos="1080"/>
        </w:tabs>
        <w:ind w:left="1080" w:hanging="72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51113EB"/>
    <w:multiLevelType w:val="hybridMultilevel"/>
    <w:tmpl w:val="C994E22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22F51AE"/>
    <w:multiLevelType w:val="hybridMultilevel"/>
    <w:tmpl w:val="BE624A4E"/>
    <w:lvl w:ilvl="0" w:tplc="FC70FD26">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577243D"/>
    <w:multiLevelType w:val="hybridMultilevel"/>
    <w:tmpl w:val="CE0E6F4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8D81133"/>
    <w:multiLevelType w:val="hybridMultilevel"/>
    <w:tmpl w:val="FADA10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72D7293"/>
    <w:multiLevelType w:val="hybridMultilevel"/>
    <w:tmpl w:val="06F670C8"/>
    <w:lvl w:ilvl="0" w:tplc="2E3AC7C2">
      <w:start w:val="1"/>
      <w:numFmt w:val="decimal"/>
      <w:lvlText w:val="%1."/>
      <w:lvlJc w:val="left"/>
      <w:pPr>
        <w:tabs>
          <w:tab w:val="num" w:pos="735"/>
        </w:tabs>
        <w:ind w:left="735" w:hanging="37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496A1CF8"/>
    <w:multiLevelType w:val="hybridMultilevel"/>
    <w:tmpl w:val="E50C7FB8"/>
    <w:lvl w:ilvl="0" w:tplc="92901D7E">
      <w:start w:val="1"/>
      <w:numFmt w:val="decimal"/>
      <w:lvlText w:val="%1."/>
      <w:lvlJc w:val="left"/>
      <w:pPr>
        <w:tabs>
          <w:tab w:val="num" w:pos="607"/>
        </w:tabs>
        <w:ind w:left="607" w:hanging="46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4BF37191"/>
    <w:multiLevelType w:val="hybridMultilevel"/>
    <w:tmpl w:val="2CB0AA12"/>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565011EC"/>
    <w:multiLevelType w:val="hybridMultilevel"/>
    <w:tmpl w:val="5E50799E"/>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775"/>
    <w:rsid w:val="00336389"/>
    <w:rsid w:val="006604CA"/>
    <w:rsid w:val="00A46523"/>
    <w:rsid w:val="00A658CD"/>
    <w:rsid w:val="00AA0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77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0775"/>
    <w:rPr>
      <w:rFonts w:ascii="Tahoma" w:hAnsi="Tahoma" w:cs="Tahoma"/>
      <w:sz w:val="16"/>
      <w:szCs w:val="16"/>
    </w:rPr>
  </w:style>
  <w:style w:type="character" w:customStyle="1" w:styleId="a4">
    <w:name w:val="Текст выноски Знак"/>
    <w:basedOn w:val="a0"/>
    <w:link w:val="a3"/>
    <w:uiPriority w:val="99"/>
    <w:semiHidden/>
    <w:rsid w:val="00AA0775"/>
    <w:rPr>
      <w:rFonts w:ascii="Tahoma" w:eastAsia="Times New Roman" w:hAnsi="Tahoma" w:cs="Tahoma"/>
      <w:sz w:val="16"/>
      <w:szCs w:val="16"/>
      <w:lang w:eastAsia="ru-RU"/>
    </w:rPr>
  </w:style>
  <w:style w:type="paragraph" w:styleId="a5">
    <w:name w:val="List Paragraph"/>
    <w:basedOn w:val="a"/>
    <w:uiPriority w:val="34"/>
    <w:qFormat/>
    <w:rsid w:val="003363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77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0775"/>
    <w:rPr>
      <w:rFonts w:ascii="Tahoma" w:hAnsi="Tahoma" w:cs="Tahoma"/>
      <w:sz w:val="16"/>
      <w:szCs w:val="16"/>
    </w:rPr>
  </w:style>
  <w:style w:type="character" w:customStyle="1" w:styleId="a4">
    <w:name w:val="Текст выноски Знак"/>
    <w:basedOn w:val="a0"/>
    <w:link w:val="a3"/>
    <w:uiPriority w:val="99"/>
    <w:semiHidden/>
    <w:rsid w:val="00AA0775"/>
    <w:rPr>
      <w:rFonts w:ascii="Tahoma" w:eastAsia="Times New Roman" w:hAnsi="Tahoma" w:cs="Tahoma"/>
      <w:sz w:val="16"/>
      <w:szCs w:val="16"/>
      <w:lang w:eastAsia="ru-RU"/>
    </w:rPr>
  </w:style>
  <w:style w:type="paragraph" w:styleId="a5">
    <w:name w:val="List Paragraph"/>
    <w:basedOn w:val="a"/>
    <w:uiPriority w:val="34"/>
    <w:qFormat/>
    <w:rsid w:val="003363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60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microsoft.com/office/2007/relationships/stylesWithEffects" Target="stylesWithEffects.xml"/><Relationship Id="rId7" Type="http://schemas.openxmlformats.org/officeDocument/2006/relationships/chart" Target="charts/chart2.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51"/>
      <c:hPercent val="57"/>
      <c:rotY val="44"/>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4.0492957746478875E-2"/>
          <c:y val="3.5294117647058823E-2"/>
          <c:w val="0.698943661971831"/>
          <c:h val="0.80392156862745101"/>
        </c:manualLayout>
      </c:layout>
      <c:bar3DChart>
        <c:barDir val="col"/>
        <c:grouping val="clustered"/>
        <c:varyColors val="0"/>
        <c:ser>
          <c:idx val="0"/>
          <c:order val="0"/>
          <c:tx>
            <c:strRef>
              <c:f>Sheet1!$A$2</c:f>
              <c:strCache>
                <c:ptCount val="1"/>
                <c:pt idx="0">
                  <c:v>начальная школа</c:v>
                </c:pt>
              </c:strCache>
            </c:strRef>
          </c:tx>
          <c:spPr>
            <a:solidFill>
              <a:srgbClr val="9999FF"/>
            </a:solidFill>
            <a:ln w="12678">
              <a:solidFill>
                <a:srgbClr val="000000"/>
              </a:solidFill>
              <a:prstDash val="solid"/>
            </a:ln>
          </c:spPr>
          <c:invertIfNegative val="0"/>
          <c:cat>
            <c:strRef>
              <c:f>Sheet1!$B$1:$D$1</c:f>
              <c:strCache>
                <c:ptCount val="3"/>
                <c:pt idx="0">
                  <c:v>2010-2011</c:v>
                </c:pt>
                <c:pt idx="1">
                  <c:v>2011-2012</c:v>
                </c:pt>
                <c:pt idx="2">
                  <c:v>2012-2013</c:v>
                </c:pt>
              </c:strCache>
            </c:strRef>
          </c:cat>
          <c:val>
            <c:numRef>
              <c:f>Sheet1!$B$2:$D$2</c:f>
              <c:numCache>
                <c:formatCode>General</c:formatCode>
                <c:ptCount val="3"/>
                <c:pt idx="0">
                  <c:v>4.2</c:v>
                </c:pt>
                <c:pt idx="1">
                  <c:v>4.0999999999999996</c:v>
                </c:pt>
                <c:pt idx="2">
                  <c:v>4.3</c:v>
                </c:pt>
              </c:numCache>
            </c:numRef>
          </c:val>
        </c:ser>
        <c:ser>
          <c:idx val="1"/>
          <c:order val="1"/>
          <c:tx>
            <c:strRef>
              <c:f>Sheet1!$A$3</c:f>
              <c:strCache>
                <c:ptCount val="1"/>
                <c:pt idx="0">
                  <c:v>основная школа</c:v>
                </c:pt>
              </c:strCache>
            </c:strRef>
          </c:tx>
          <c:spPr>
            <a:solidFill>
              <a:srgbClr val="993366"/>
            </a:solidFill>
            <a:ln w="12678">
              <a:solidFill>
                <a:srgbClr val="000000"/>
              </a:solidFill>
              <a:prstDash val="solid"/>
            </a:ln>
          </c:spPr>
          <c:invertIfNegative val="0"/>
          <c:cat>
            <c:strRef>
              <c:f>Sheet1!$B$1:$D$1</c:f>
              <c:strCache>
                <c:ptCount val="3"/>
                <c:pt idx="0">
                  <c:v>2010-2011</c:v>
                </c:pt>
                <c:pt idx="1">
                  <c:v>2011-2012</c:v>
                </c:pt>
                <c:pt idx="2">
                  <c:v>2012-2013</c:v>
                </c:pt>
              </c:strCache>
            </c:strRef>
          </c:cat>
          <c:val>
            <c:numRef>
              <c:f>Sheet1!$B$3:$D$3</c:f>
              <c:numCache>
                <c:formatCode>General</c:formatCode>
                <c:ptCount val="3"/>
                <c:pt idx="0">
                  <c:v>3.3</c:v>
                </c:pt>
                <c:pt idx="1">
                  <c:v>3.45</c:v>
                </c:pt>
                <c:pt idx="2">
                  <c:v>3.75</c:v>
                </c:pt>
              </c:numCache>
            </c:numRef>
          </c:val>
        </c:ser>
        <c:ser>
          <c:idx val="2"/>
          <c:order val="2"/>
          <c:tx>
            <c:strRef>
              <c:f>Sheet1!$A$4</c:f>
              <c:strCache>
                <c:ptCount val="1"/>
                <c:pt idx="0">
                  <c:v>старшая школа</c:v>
                </c:pt>
              </c:strCache>
            </c:strRef>
          </c:tx>
          <c:spPr>
            <a:solidFill>
              <a:srgbClr val="FFFFCC"/>
            </a:solidFill>
            <a:ln w="12678">
              <a:solidFill>
                <a:srgbClr val="000000"/>
              </a:solidFill>
              <a:prstDash val="solid"/>
            </a:ln>
          </c:spPr>
          <c:invertIfNegative val="0"/>
          <c:cat>
            <c:strRef>
              <c:f>Sheet1!$B$1:$D$1</c:f>
              <c:strCache>
                <c:ptCount val="3"/>
                <c:pt idx="0">
                  <c:v>2010-2011</c:v>
                </c:pt>
                <c:pt idx="1">
                  <c:v>2011-2012</c:v>
                </c:pt>
                <c:pt idx="2">
                  <c:v>2012-2013</c:v>
                </c:pt>
              </c:strCache>
            </c:strRef>
          </c:cat>
          <c:val>
            <c:numRef>
              <c:f>Sheet1!$B$4:$D$4</c:f>
              <c:numCache>
                <c:formatCode>General</c:formatCode>
                <c:ptCount val="3"/>
                <c:pt idx="0">
                  <c:v>3.7</c:v>
                </c:pt>
                <c:pt idx="1">
                  <c:v>3.8</c:v>
                </c:pt>
                <c:pt idx="2">
                  <c:v>4</c:v>
                </c:pt>
              </c:numCache>
            </c:numRef>
          </c:val>
        </c:ser>
        <c:dLbls>
          <c:showLegendKey val="0"/>
          <c:showVal val="0"/>
          <c:showCatName val="0"/>
          <c:showSerName val="0"/>
          <c:showPercent val="0"/>
          <c:showBubbleSize val="0"/>
        </c:dLbls>
        <c:gapWidth val="150"/>
        <c:gapDepth val="0"/>
        <c:shape val="box"/>
        <c:axId val="84322176"/>
        <c:axId val="84357888"/>
        <c:axId val="0"/>
      </c:bar3DChart>
      <c:catAx>
        <c:axId val="84322176"/>
        <c:scaling>
          <c:orientation val="minMax"/>
        </c:scaling>
        <c:delete val="0"/>
        <c:axPos val="b"/>
        <c:numFmt formatCode="General" sourceLinked="1"/>
        <c:majorTickMark val="out"/>
        <c:minorTickMark val="none"/>
        <c:tickLblPos val="low"/>
        <c:spPr>
          <a:ln w="3169">
            <a:solidFill>
              <a:srgbClr val="000000"/>
            </a:solidFill>
            <a:prstDash val="solid"/>
          </a:ln>
        </c:spPr>
        <c:txPr>
          <a:bodyPr rot="0" vert="horz"/>
          <a:lstStyle/>
          <a:p>
            <a:pPr>
              <a:defRPr sz="1123" b="1" i="0" u="none" strike="noStrike" baseline="0">
                <a:solidFill>
                  <a:srgbClr val="000000"/>
                </a:solidFill>
                <a:latin typeface="Calibri"/>
                <a:ea typeface="Calibri"/>
                <a:cs typeface="Calibri"/>
              </a:defRPr>
            </a:pPr>
            <a:endParaRPr lang="ru-RU"/>
          </a:p>
        </c:txPr>
        <c:crossAx val="84357888"/>
        <c:crosses val="autoZero"/>
        <c:auto val="1"/>
        <c:lblAlgn val="ctr"/>
        <c:lblOffset val="100"/>
        <c:tickLblSkip val="1"/>
        <c:tickMarkSkip val="1"/>
        <c:noMultiLvlLbl val="0"/>
      </c:catAx>
      <c:valAx>
        <c:axId val="84357888"/>
        <c:scaling>
          <c:orientation val="minMax"/>
        </c:scaling>
        <c:delete val="0"/>
        <c:axPos val="l"/>
        <c:majorGridlines>
          <c:spPr>
            <a:ln w="3169">
              <a:solidFill>
                <a:srgbClr val="000000"/>
              </a:solidFill>
              <a:prstDash val="solid"/>
            </a:ln>
          </c:spPr>
        </c:majorGridlines>
        <c:numFmt formatCode="General" sourceLinked="1"/>
        <c:majorTickMark val="out"/>
        <c:minorTickMark val="none"/>
        <c:tickLblPos val="nextTo"/>
        <c:spPr>
          <a:ln w="3169">
            <a:solidFill>
              <a:srgbClr val="000000"/>
            </a:solidFill>
            <a:prstDash val="solid"/>
          </a:ln>
        </c:spPr>
        <c:txPr>
          <a:bodyPr rot="0" vert="horz"/>
          <a:lstStyle/>
          <a:p>
            <a:pPr>
              <a:defRPr sz="1123" b="1" i="0" u="none" strike="noStrike" baseline="0">
                <a:solidFill>
                  <a:srgbClr val="000000"/>
                </a:solidFill>
                <a:latin typeface="Calibri"/>
                <a:ea typeface="Calibri"/>
                <a:cs typeface="Calibri"/>
              </a:defRPr>
            </a:pPr>
            <a:endParaRPr lang="ru-RU"/>
          </a:p>
        </c:txPr>
        <c:crossAx val="84322176"/>
        <c:crosses val="autoZero"/>
        <c:crossBetween val="between"/>
      </c:valAx>
      <c:spPr>
        <a:noFill/>
        <a:ln w="25355">
          <a:noFill/>
        </a:ln>
      </c:spPr>
    </c:plotArea>
    <c:legend>
      <c:legendPos val="r"/>
      <c:layout>
        <c:manualLayout>
          <c:xMode val="edge"/>
          <c:yMode val="edge"/>
          <c:x val="0.75880281690140849"/>
          <c:y val="0.36470588235294116"/>
          <c:w val="0.23415492957746478"/>
          <c:h val="0.27450980392156865"/>
        </c:manualLayout>
      </c:layout>
      <c:overlay val="0"/>
      <c:spPr>
        <a:noFill/>
        <a:ln w="3169">
          <a:solidFill>
            <a:srgbClr val="000000"/>
          </a:solidFill>
          <a:prstDash val="solid"/>
        </a:ln>
      </c:spPr>
      <c:txPr>
        <a:bodyPr/>
        <a:lstStyle/>
        <a:p>
          <a:pPr>
            <a:defRPr sz="1033"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1123" b="1" i="0" u="none" strike="noStrike" baseline="0">
          <a:solidFill>
            <a:srgbClr val="000000"/>
          </a:solidFill>
          <a:latin typeface="Calibri"/>
          <a:ea typeface="Calibri"/>
          <a:cs typeface="Calibri"/>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2383" b="1" i="0" u="none" strike="noStrike" baseline="0">
                <a:solidFill>
                  <a:srgbClr val="000000"/>
                </a:solidFill>
                <a:latin typeface="Arial"/>
                <a:ea typeface="Arial"/>
                <a:cs typeface="Arial"/>
              </a:defRPr>
            </a:pPr>
            <a:r>
              <a:rPr lang="ru-RU"/>
              <a:t>Мониторинг состояния здоровья учащихся</a:t>
            </a:r>
          </a:p>
        </c:rich>
      </c:tx>
      <c:layout>
        <c:manualLayout>
          <c:xMode val="edge"/>
          <c:yMode val="edge"/>
          <c:x val="0.20274914089347079"/>
          <c:y val="2.2099447513812154E-2"/>
        </c:manualLayout>
      </c:layout>
      <c:overlay val="0"/>
      <c:spPr>
        <a:noFill/>
        <a:ln w="55021">
          <a:noFill/>
        </a:ln>
      </c:spPr>
    </c:title>
    <c:autoTitleDeleted val="0"/>
    <c:plotArea>
      <c:layout>
        <c:manualLayout>
          <c:layoutTarget val="inner"/>
          <c:xMode val="edge"/>
          <c:yMode val="edge"/>
          <c:x val="0.25085910652920962"/>
          <c:y val="0.25966850828729282"/>
          <c:w val="0.67010309278350511"/>
          <c:h val="0.47513812154696133"/>
        </c:manualLayout>
      </c:layout>
      <c:barChart>
        <c:barDir val="bar"/>
        <c:grouping val="stacked"/>
        <c:varyColors val="0"/>
        <c:ser>
          <c:idx val="0"/>
          <c:order val="0"/>
          <c:tx>
            <c:strRef>
              <c:f>Sheet1!$A$2</c:f>
              <c:strCache>
                <c:ptCount val="1"/>
                <c:pt idx="0">
                  <c:v>здоровые</c:v>
                </c:pt>
              </c:strCache>
            </c:strRef>
          </c:tx>
          <c:spPr>
            <a:gradFill rotWithShape="0">
              <a:gsLst>
                <a:gs pos="0">
                  <a:srgbClr xmlns:mc="http://schemas.openxmlformats.org/markup-compatibility/2006" xmlns:a14="http://schemas.microsoft.com/office/drawing/2010/main" val="000000" mc:Ignorable="a14" a14:legacySpreadsheetColorIndex="24">
                    <a:gamma/>
                    <a:shade val="46275"/>
                    <a:invGamma/>
                  </a:srgbClr>
                </a:gs>
                <a:gs pos="50000">
                  <a:srgbClr xmlns:mc="http://schemas.openxmlformats.org/markup-compatibility/2006" xmlns:a14="http://schemas.microsoft.com/office/drawing/2010/main" val="9999FF" mc:Ignorable="a14" a14:legacySpreadsheetColorIndex="24"/>
                </a:gs>
                <a:gs pos="100000">
                  <a:srgbClr xmlns:mc="http://schemas.openxmlformats.org/markup-compatibility/2006" xmlns:a14="http://schemas.microsoft.com/office/drawing/2010/main" val="000000" mc:Ignorable="a14" a14:legacySpreadsheetColorIndex="24">
                    <a:gamma/>
                    <a:shade val="46275"/>
                    <a:invGamma/>
                  </a:srgbClr>
                </a:gs>
              </a:gsLst>
              <a:lin ang="5400000" scaled="1"/>
            </a:gradFill>
            <a:ln w="27510">
              <a:solidFill>
                <a:srgbClr val="000000"/>
              </a:solidFill>
              <a:prstDash val="solid"/>
            </a:ln>
          </c:spPr>
          <c:invertIfNegative val="0"/>
          <c:cat>
            <c:strRef>
              <c:f>Sheet1!$B$1:$E$1</c:f>
              <c:strCache>
                <c:ptCount val="2"/>
                <c:pt idx="0">
                  <c:v>2013-2014</c:v>
                </c:pt>
                <c:pt idx="1">
                  <c:v> </c:v>
                </c:pt>
              </c:strCache>
            </c:strRef>
          </c:cat>
          <c:val>
            <c:numRef>
              <c:f>Sheet1!$B$2:$E$2</c:f>
              <c:numCache>
                <c:formatCode>General</c:formatCode>
                <c:ptCount val="2"/>
                <c:pt idx="0">
                  <c:v>193</c:v>
                </c:pt>
                <c:pt idx="1">
                  <c:v>0</c:v>
                </c:pt>
              </c:numCache>
            </c:numRef>
          </c:val>
        </c:ser>
        <c:ser>
          <c:idx val="1"/>
          <c:order val="1"/>
          <c:tx>
            <c:strRef>
              <c:f>Sheet1!$A$3</c:f>
              <c:strCache>
                <c:ptCount val="1"/>
                <c:pt idx="0">
                  <c:v>с ослаблен.</c:v>
                </c:pt>
              </c:strCache>
            </c:strRef>
          </c:tx>
          <c:spPr>
            <a:gradFill rotWithShape="0">
              <a:gsLst>
                <a:gs pos="0">
                  <a:srgbClr xmlns:mc="http://schemas.openxmlformats.org/markup-compatibility/2006" xmlns:a14="http://schemas.microsoft.com/office/drawing/2010/main" val="000000" mc:Ignorable="a14" a14:legacySpreadsheetColorIndex="25">
                    <a:gamma/>
                    <a:shade val="46275"/>
                    <a:invGamma/>
                  </a:srgbClr>
                </a:gs>
                <a:gs pos="50000">
                  <a:srgbClr xmlns:mc="http://schemas.openxmlformats.org/markup-compatibility/2006" xmlns:a14="http://schemas.microsoft.com/office/drawing/2010/main" val="993366" mc:Ignorable="a14" a14:legacySpreadsheetColorIndex="25"/>
                </a:gs>
                <a:gs pos="100000">
                  <a:srgbClr xmlns:mc="http://schemas.openxmlformats.org/markup-compatibility/2006" xmlns:a14="http://schemas.microsoft.com/office/drawing/2010/main" val="000000" mc:Ignorable="a14" a14:legacySpreadsheetColorIndex="25">
                    <a:gamma/>
                    <a:shade val="46275"/>
                    <a:invGamma/>
                  </a:srgbClr>
                </a:gs>
              </a:gsLst>
              <a:lin ang="5400000" scaled="1"/>
            </a:gradFill>
            <a:ln w="27510">
              <a:solidFill>
                <a:srgbClr val="000000"/>
              </a:solidFill>
              <a:prstDash val="solid"/>
            </a:ln>
          </c:spPr>
          <c:invertIfNegative val="0"/>
          <c:cat>
            <c:strRef>
              <c:f>Sheet1!$B$1:$E$1</c:f>
              <c:strCache>
                <c:ptCount val="2"/>
                <c:pt idx="0">
                  <c:v>2013-2014</c:v>
                </c:pt>
                <c:pt idx="1">
                  <c:v> </c:v>
                </c:pt>
              </c:strCache>
            </c:strRef>
          </c:cat>
          <c:val>
            <c:numRef>
              <c:f>Sheet1!$B$3:$E$3</c:f>
              <c:numCache>
                <c:formatCode>General</c:formatCode>
                <c:ptCount val="2"/>
                <c:pt idx="0">
                  <c:v>894</c:v>
                </c:pt>
                <c:pt idx="1">
                  <c:v>0</c:v>
                </c:pt>
              </c:numCache>
            </c:numRef>
          </c:val>
        </c:ser>
        <c:ser>
          <c:idx val="3"/>
          <c:order val="2"/>
          <c:tx>
            <c:strRef>
              <c:f>Sheet1!$A$4</c:f>
              <c:strCache>
                <c:ptCount val="1"/>
                <c:pt idx="0">
                  <c:v>освобождены</c:v>
                </c:pt>
              </c:strCache>
            </c:strRef>
          </c:tx>
          <c:spPr>
            <a:gradFill rotWithShape="0">
              <a:gsLst>
                <a:gs pos="0">
                  <a:srgbClr xmlns:mc="http://schemas.openxmlformats.org/markup-compatibility/2006" xmlns:a14="http://schemas.microsoft.com/office/drawing/2010/main" val="000000" mc:Ignorable="a14" a14:legacySpreadsheetColorIndex="27">
                    <a:gamma/>
                    <a:shade val="46275"/>
                    <a:invGamma/>
                  </a:srgbClr>
                </a:gs>
                <a:gs pos="50000">
                  <a:srgbClr xmlns:mc="http://schemas.openxmlformats.org/markup-compatibility/2006" xmlns:a14="http://schemas.microsoft.com/office/drawing/2010/main" val="CCFFFF" mc:Ignorable="a14" a14:legacySpreadsheetColorIndex="27"/>
                </a:gs>
                <a:gs pos="100000">
                  <a:srgbClr xmlns:mc="http://schemas.openxmlformats.org/markup-compatibility/2006" xmlns:a14="http://schemas.microsoft.com/office/drawing/2010/main" val="000000" mc:Ignorable="a14" a14:legacySpreadsheetColorIndex="27">
                    <a:gamma/>
                    <a:shade val="46275"/>
                    <a:invGamma/>
                  </a:srgbClr>
                </a:gs>
              </a:gsLst>
              <a:lin ang="5400000" scaled="1"/>
            </a:gradFill>
            <a:ln w="27510">
              <a:solidFill>
                <a:srgbClr val="000000"/>
              </a:solidFill>
              <a:prstDash val="solid"/>
            </a:ln>
          </c:spPr>
          <c:invertIfNegative val="0"/>
          <c:cat>
            <c:strRef>
              <c:f>Sheet1!$B$1:$E$1</c:f>
              <c:strCache>
                <c:ptCount val="2"/>
                <c:pt idx="0">
                  <c:v>2013-2014</c:v>
                </c:pt>
                <c:pt idx="1">
                  <c:v> </c:v>
                </c:pt>
              </c:strCache>
            </c:strRef>
          </c:cat>
          <c:val>
            <c:numRef>
              <c:f>Sheet1!$B$4:$E$4</c:f>
              <c:numCache>
                <c:formatCode>General</c:formatCode>
                <c:ptCount val="2"/>
                <c:pt idx="0">
                  <c:v>135</c:v>
                </c:pt>
              </c:numCache>
            </c:numRef>
          </c:val>
        </c:ser>
        <c:dLbls>
          <c:showLegendKey val="0"/>
          <c:showVal val="0"/>
          <c:showCatName val="0"/>
          <c:showSerName val="0"/>
          <c:showPercent val="0"/>
          <c:showBubbleSize val="0"/>
        </c:dLbls>
        <c:gapWidth val="150"/>
        <c:overlap val="100"/>
        <c:axId val="127634816"/>
        <c:axId val="167432960"/>
      </c:barChart>
      <c:catAx>
        <c:axId val="127634816"/>
        <c:scaling>
          <c:orientation val="minMax"/>
        </c:scaling>
        <c:delete val="0"/>
        <c:axPos val="l"/>
        <c:numFmt formatCode="General" sourceLinked="1"/>
        <c:majorTickMark val="none"/>
        <c:minorTickMark val="none"/>
        <c:tickLblPos val="nextTo"/>
        <c:spPr>
          <a:ln w="6878">
            <a:solidFill>
              <a:srgbClr val="000000"/>
            </a:solidFill>
            <a:prstDash val="solid"/>
          </a:ln>
        </c:spPr>
        <c:txPr>
          <a:bodyPr rot="0" vert="horz"/>
          <a:lstStyle/>
          <a:p>
            <a:pPr>
              <a:defRPr sz="1733" b="1" i="0" u="none" strike="noStrike" baseline="0">
                <a:solidFill>
                  <a:srgbClr val="000000"/>
                </a:solidFill>
                <a:latin typeface="Arial"/>
                <a:ea typeface="Arial"/>
                <a:cs typeface="Arial"/>
              </a:defRPr>
            </a:pPr>
            <a:endParaRPr lang="ru-RU"/>
          </a:p>
        </c:txPr>
        <c:crossAx val="167432960"/>
        <c:crosses val="autoZero"/>
        <c:auto val="1"/>
        <c:lblAlgn val="ctr"/>
        <c:lblOffset val="100"/>
        <c:tickLblSkip val="1"/>
        <c:tickMarkSkip val="1"/>
        <c:noMultiLvlLbl val="0"/>
      </c:catAx>
      <c:valAx>
        <c:axId val="167432960"/>
        <c:scaling>
          <c:orientation val="minMax"/>
        </c:scaling>
        <c:delete val="0"/>
        <c:axPos val="b"/>
        <c:numFmt formatCode="General" sourceLinked="1"/>
        <c:majorTickMark val="out"/>
        <c:minorTickMark val="none"/>
        <c:tickLblPos val="nextTo"/>
        <c:spPr>
          <a:ln w="6878">
            <a:solidFill>
              <a:srgbClr val="000000"/>
            </a:solidFill>
            <a:prstDash val="solid"/>
          </a:ln>
        </c:spPr>
        <c:txPr>
          <a:bodyPr rot="0" vert="horz"/>
          <a:lstStyle/>
          <a:p>
            <a:pPr>
              <a:defRPr sz="1733" b="1" i="0" u="none" strike="noStrike" baseline="0">
                <a:solidFill>
                  <a:srgbClr val="000000"/>
                </a:solidFill>
                <a:latin typeface="Arial"/>
                <a:ea typeface="Arial"/>
                <a:cs typeface="Arial"/>
              </a:defRPr>
            </a:pPr>
            <a:endParaRPr lang="ru-RU"/>
          </a:p>
        </c:txPr>
        <c:crossAx val="127634816"/>
        <c:crosses val="autoZero"/>
        <c:crossBetween val="between"/>
      </c:valAx>
      <c:spPr>
        <a:noFill/>
        <a:ln w="55021">
          <a:noFill/>
        </a:ln>
      </c:spPr>
    </c:plotArea>
    <c:legend>
      <c:legendPos val="r"/>
      <c:layout>
        <c:manualLayout>
          <c:xMode val="edge"/>
          <c:yMode val="edge"/>
          <c:x val="5.4982817869415807E-2"/>
          <c:y val="0.850828729281768"/>
          <c:w val="0.91752577319587625"/>
          <c:h val="0.13259668508287292"/>
        </c:manualLayout>
      </c:layout>
      <c:overlay val="0"/>
      <c:spPr>
        <a:solidFill>
          <a:srgbClr val="FFFFFF"/>
        </a:solidFill>
        <a:ln w="6878">
          <a:solidFill>
            <a:srgbClr val="000000"/>
          </a:solidFill>
          <a:prstDash val="solid"/>
        </a:ln>
      </c:spPr>
      <c:txPr>
        <a:bodyPr/>
        <a:lstStyle/>
        <a:p>
          <a:pPr>
            <a:defRPr sz="1939" b="0" i="0" u="none" strike="noStrike" baseline="0">
              <a:solidFill>
                <a:srgbClr val="000000"/>
              </a:solidFill>
              <a:latin typeface="Arial"/>
              <a:ea typeface="Arial"/>
              <a:cs typeface="Arial"/>
            </a:defRPr>
          </a:pPr>
          <a:endParaRPr lang="ru-RU"/>
        </a:p>
      </c:txPr>
    </c:legend>
    <c:plotVisOnly val="1"/>
    <c:dispBlanksAs val="gap"/>
    <c:showDLblsOverMax val="0"/>
  </c:chart>
  <c:spPr>
    <a:gradFill rotWithShape="0">
      <a:gsLst>
        <a:gs pos="0">
          <a:srgbClr val="DCEBF5"/>
        </a:gs>
        <a:gs pos="8000">
          <a:srgbClr val="83A7C3"/>
        </a:gs>
        <a:gs pos="13000">
          <a:srgbClr val="768FB9"/>
        </a:gs>
        <a:gs pos="21001">
          <a:srgbClr val="83A7C3"/>
        </a:gs>
        <a:gs pos="52000">
          <a:srgbClr val="FFFFFF"/>
        </a:gs>
        <a:gs pos="56000">
          <a:srgbClr val="9C6563"/>
        </a:gs>
        <a:gs pos="58000">
          <a:srgbClr val="80302D"/>
        </a:gs>
        <a:gs pos="71001">
          <a:srgbClr val="C0524E"/>
        </a:gs>
        <a:gs pos="94000">
          <a:srgbClr val="EBDAD4"/>
        </a:gs>
        <a:gs pos="100000">
          <a:srgbClr val="55261C"/>
        </a:gs>
      </a:gsLst>
      <a:lin ang="5400000" scaled="1"/>
    </a:gradFill>
    <a:ln>
      <a:noFill/>
    </a:ln>
  </c:spPr>
  <c:txPr>
    <a:bodyPr/>
    <a:lstStyle/>
    <a:p>
      <a:pPr>
        <a:defRPr sz="2112" b="0" i="0" u="none" strike="noStrike" baseline="0">
          <a:solidFill>
            <a:srgbClr val="000000"/>
          </a:solidFill>
          <a:latin typeface="Arial"/>
          <a:ea typeface="Arial"/>
          <a:cs typeface="Arial"/>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3"/>
      <c:hPercent val="74"/>
      <c:rotY val="13"/>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bar3DChart>
        <c:barDir val="col"/>
        <c:grouping val="clustered"/>
        <c:varyColors val="0"/>
        <c:ser>
          <c:idx val="1"/>
          <c:order val="0"/>
          <c:tx>
            <c:strRef>
              <c:f>Sheet1!$A$2</c:f>
              <c:strCache>
                <c:ptCount val="1"/>
                <c:pt idx="0">
                  <c:v>спецмед. гр</c:v>
                </c:pt>
              </c:strCache>
            </c:strRef>
          </c:tx>
          <c:spPr>
            <a:solidFill>
              <a:srgbClr val="993366"/>
            </a:solidFill>
            <a:ln w="28418">
              <a:solidFill>
                <a:srgbClr val="000000"/>
              </a:solidFill>
              <a:prstDash val="solid"/>
            </a:ln>
          </c:spPr>
          <c:invertIfNegative val="0"/>
          <c:dLbls>
            <c:spPr>
              <a:noFill/>
              <a:ln w="56835">
                <a:noFill/>
              </a:ln>
            </c:spPr>
            <c:txPr>
              <a:bodyPr/>
              <a:lstStyle/>
              <a:p>
                <a:pPr>
                  <a:defRPr sz="1175"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strRef>
              <c:f>Sheet1!$B$1:$B$1</c:f>
              <c:strCache>
                <c:ptCount val="1"/>
                <c:pt idx="0">
                  <c:v>2013-2014</c:v>
                </c:pt>
              </c:strCache>
            </c:strRef>
          </c:cat>
          <c:val>
            <c:numRef>
              <c:f>Sheet1!$B$2:$B$2</c:f>
              <c:numCache>
                <c:formatCode>General</c:formatCode>
                <c:ptCount val="1"/>
                <c:pt idx="0">
                  <c:v>20</c:v>
                </c:pt>
              </c:numCache>
            </c:numRef>
          </c:val>
        </c:ser>
        <c:dLbls>
          <c:showLegendKey val="0"/>
          <c:showVal val="1"/>
          <c:showCatName val="0"/>
          <c:showSerName val="0"/>
          <c:showPercent val="0"/>
          <c:showBubbleSize val="0"/>
        </c:dLbls>
        <c:gapWidth val="60"/>
        <c:gapDepth val="0"/>
        <c:shape val="box"/>
        <c:axId val="40705408"/>
        <c:axId val="40708352"/>
        <c:axId val="0"/>
      </c:bar3DChart>
      <c:catAx>
        <c:axId val="40705408"/>
        <c:scaling>
          <c:orientation val="minMax"/>
        </c:scaling>
        <c:delete val="0"/>
        <c:axPos val="b"/>
        <c:numFmt formatCode="General" sourceLinked="1"/>
        <c:majorTickMark val="out"/>
        <c:minorTickMark val="none"/>
        <c:tickLblPos val="low"/>
        <c:spPr>
          <a:ln w="7104">
            <a:solidFill>
              <a:srgbClr val="000000"/>
            </a:solidFill>
            <a:prstDash val="solid"/>
          </a:ln>
        </c:spPr>
        <c:txPr>
          <a:bodyPr rot="0" vert="horz"/>
          <a:lstStyle/>
          <a:p>
            <a:pPr>
              <a:defRPr sz="1231" b="1" i="0" u="none" strike="noStrike" baseline="0">
                <a:solidFill>
                  <a:srgbClr val="000000"/>
                </a:solidFill>
                <a:latin typeface="Arial Cyr"/>
                <a:ea typeface="Arial Cyr"/>
                <a:cs typeface="Arial Cyr"/>
              </a:defRPr>
            </a:pPr>
            <a:endParaRPr lang="ru-RU"/>
          </a:p>
        </c:txPr>
        <c:crossAx val="40708352"/>
        <c:crosses val="autoZero"/>
        <c:auto val="1"/>
        <c:lblAlgn val="ctr"/>
        <c:lblOffset val="100"/>
        <c:tickLblSkip val="1"/>
        <c:tickMarkSkip val="1"/>
        <c:noMultiLvlLbl val="0"/>
      </c:catAx>
      <c:valAx>
        <c:axId val="40708352"/>
        <c:scaling>
          <c:orientation val="minMax"/>
        </c:scaling>
        <c:delete val="0"/>
        <c:axPos val="l"/>
        <c:majorGridlines>
          <c:spPr>
            <a:ln w="7104">
              <a:solidFill>
                <a:srgbClr val="000000"/>
              </a:solidFill>
              <a:prstDash val="solid"/>
            </a:ln>
          </c:spPr>
        </c:majorGridlines>
        <c:numFmt formatCode="General" sourceLinked="1"/>
        <c:majorTickMark val="out"/>
        <c:minorTickMark val="none"/>
        <c:tickLblPos val="nextTo"/>
        <c:spPr>
          <a:ln w="7104">
            <a:solidFill>
              <a:srgbClr val="000000"/>
            </a:solidFill>
            <a:prstDash val="solid"/>
          </a:ln>
        </c:spPr>
        <c:txPr>
          <a:bodyPr rot="0" vert="horz"/>
          <a:lstStyle/>
          <a:p>
            <a:pPr>
              <a:defRPr sz="1175" b="1" i="0" u="none" strike="noStrike" baseline="0">
                <a:solidFill>
                  <a:srgbClr val="000000"/>
                </a:solidFill>
                <a:latin typeface="Arial Cyr"/>
                <a:ea typeface="Arial Cyr"/>
                <a:cs typeface="Arial Cyr"/>
              </a:defRPr>
            </a:pPr>
            <a:endParaRPr lang="ru-RU"/>
          </a:p>
        </c:txPr>
        <c:crossAx val="40705408"/>
        <c:crosses val="autoZero"/>
        <c:crossBetween val="between"/>
      </c:valAx>
      <c:spPr>
        <a:noFill/>
        <a:ln w="56835">
          <a:noFill/>
        </a:ln>
      </c:spPr>
    </c:plotArea>
    <c:legend>
      <c:legendPos val="r"/>
      <c:layout>
        <c:manualLayout>
          <c:xMode val="edge"/>
          <c:yMode val="edge"/>
          <c:x val="0.71199999999999997"/>
          <c:y val="0.18045112781954886"/>
          <c:w val="0.248"/>
          <c:h val="0.12030075187969924"/>
        </c:manualLayout>
      </c:layout>
      <c:overlay val="0"/>
      <c:spPr>
        <a:noFill/>
        <a:ln w="7104">
          <a:solidFill>
            <a:srgbClr val="000000"/>
          </a:solidFill>
          <a:prstDash val="solid"/>
        </a:ln>
      </c:spPr>
      <c:txPr>
        <a:bodyPr/>
        <a:lstStyle/>
        <a:p>
          <a:pPr>
            <a:defRPr sz="1175"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287"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b="1" i="0" u="none" strike="noStrike" baseline="0">
                <a:solidFill>
                  <a:srgbClr val="000000"/>
                </a:solidFill>
                <a:latin typeface="Arial Cyr"/>
                <a:ea typeface="Arial Cyr"/>
                <a:cs typeface="Arial Cyr"/>
              </a:defRPr>
            </a:pPr>
            <a:r>
              <a:rPr lang="ru-RU"/>
              <a:t>Трудоустройство выпускников основной  школы </a:t>
            </a:r>
          </a:p>
        </c:rich>
      </c:tx>
      <c:layout>
        <c:manualLayout>
          <c:xMode val="edge"/>
          <c:yMode val="edge"/>
          <c:x val="0.12225705329153605"/>
          <c:y val="1.9417475728155338E-2"/>
        </c:manualLayout>
      </c:layout>
      <c:overlay val="0"/>
      <c:spPr>
        <a:noFill/>
        <a:ln w="25400">
          <a:noFill/>
        </a:ln>
      </c:spPr>
    </c:title>
    <c:autoTitleDeleted val="0"/>
    <c:view3D>
      <c:rotX val="15"/>
      <c:hPercent val="35"/>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5.6426332288401257E-2"/>
          <c:y val="0.17475728155339806"/>
          <c:w val="0.92789968652037613"/>
          <c:h val="0.5889967637540453"/>
        </c:manualLayout>
      </c:layout>
      <c:bar3DChart>
        <c:barDir val="col"/>
        <c:grouping val="clustered"/>
        <c:varyColors val="0"/>
        <c:ser>
          <c:idx val="0"/>
          <c:order val="0"/>
          <c:tx>
            <c:strRef>
              <c:f>Sheet1!$A$2</c:f>
              <c:strCache>
                <c:ptCount val="1"/>
                <c:pt idx="0">
                  <c:v> 10 класс</c:v>
                </c:pt>
              </c:strCache>
            </c:strRef>
          </c:tx>
          <c:spPr>
            <a:solidFill>
              <a:srgbClr val="9999FF"/>
            </a:solidFill>
            <a:ln w="12700">
              <a:solidFill>
                <a:srgbClr val="000000"/>
              </a:solidFill>
              <a:prstDash val="solid"/>
            </a:ln>
          </c:spPr>
          <c:invertIfNegative val="0"/>
          <c:dLbls>
            <c:spPr>
              <a:noFill/>
              <a:ln w="25400">
                <a:noFill/>
              </a:ln>
            </c:spPr>
            <c:txPr>
              <a:bodyPr/>
              <a:lstStyle/>
              <a:p>
                <a:pPr>
                  <a:defRPr sz="1200"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strRef>
              <c:f>Sheet1!$B$1:$C$1</c:f>
              <c:strCache>
                <c:ptCount val="2"/>
                <c:pt idx="0">
                  <c:v>2011-2012</c:v>
                </c:pt>
                <c:pt idx="1">
                  <c:v>2012-2013</c:v>
                </c:pt>
              </c:strCache>
            </c:strRef>
          </c:cat>
          <c:val>
            <c:numRef>
              <c:f>Sheet1!$B$2:$C$2</c:f>
              <c:numCache>
                <c:formatCode>General</c:formatCode>
                <c:ptCount val="2"/>
                <c:pt idx="0">
                  <c:v>54</c:v>
                </c:pt>
                <c:pt idx="1">
                  <c:v>53</c:v>
                </c:pt>
              </c:numCache>
            </c:numRef>
          </c:val>
        </c:ser>
        <c:ser>
          <c:idx val="1"/>
          <c:order val="1"/>
          <c:tx>
            <c:strRef>
              <c:f>Sheet1!$A$3</c:f>
              <c:strCache>
                <c:ptCount val="1"/>
                <c:pt idx="0">
                  <c:v>Колледжи</c:v>
                </c:pt>
              </c:strCache>
            </c:strRef>
          </c:tx>
          <c:spPr>
            <a:solidFill>
              <a:srgbClr val="993366"/>
            </a:solidFill>
            <a:ln w="12700">
              <a:solidFill>
                <a:srgbClr val="000000"/>
              </a:solidFill>
              <a:prstDash val="solid"/>
            </a:ln>
          </c:spPr>
          <c:invertIfNegative val="0"/>
          <c:dLbls>
            <c:spPr>
              <a:noFill/>
              <a:ln w="25400">
                <a:noFill/>
              </a:ln>
            </c:spPr>
            <c:txPr>
              <a:bodyPr/>
              <a:lstStyle/>
              <a:p>
                <a:pPr>
                  <a:defRPr sz="1200"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strRef>
              <c:f>Sheet1!$B$1:$C$1</c:f>
              <c:strCache>
                <c:ptCount val="2"/>
                <c:pt idx="0">
                  <c:v>2011-2012</c:v>
                </c:pt>
                <c:pt idx="1">
                  <c:v>2012-2013</c:v>
                </c:pt>
              </c:strCache>
            </c:strRef>
          </c:cat>
          <c:val>
            <c:numRef>
              <c:f>Sheet1!$B$3:$C$3</c:f>
              <c:numCache>
                <c:formatCode>General</c:formatCode>
                <c:ptCount val="2"/>
                <c:pt idx="0">
                  <c:v>46</c:v>
                </c:pt>
                <c:pt idx="1">
                  <c:v>47</c:v>
                </c:pt>
              </c:numCache>
            </c:numRef>
          </c:val>
        </c:ser>
        <c:ser>
          <c:idx val="3"/>
          <c:order val="2"/>
          <c:tx>
            <c:strRef>
              <c:f>Sheet1!$A$4</c:f>
              <c:strCache>
                <c:ptCount val="1"/>
                <c:pt idx="0">
                  <c:v>Вечерняя</c:v>
                </c:pt>
              </c:strCache>
            </c:strRef>
          </c:tx>
          <c:spPr>
            <a:solidFill>
              <a:srgbClr val="CCFFFF"/>
            </a:solidFill>
            <a:ln w="12700">
              <a:solidFill>
                <a:srgbClr val="000000"/>
              </a:solidFill>
              <a:prstDash val="solid"/>
            </a:ln>
          </c:spPr>
          <c:invertIfNegative val="0"/>
          <c:dLbls>
            <c:spPr>
              <a:noFill/>
              <a:ln w="25400">
                <a:noFill/>
              </a:ln>
            </c:spPr>
            <c:txPr>
              <a:bodyPr/>
              <a:lstStyle/>
              <a:p>
                <a:pPr>
                  <a:defRPr sz="1200"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strRef>
              <c:f>Sheet1!$B$1:$C$1</c:f>
              <c:strCache>
                <c:ptCount val="2"/>
                <c:pt idx="0">
                  <c:v>2011-2012</c:v>
                </c:pt>
                <c:pt idx="1">
                  <c:v>2012-2013</c:v>
                </c:pt>
              </c:strCache>
            </c:strRef>
          </c:cat>
          <c:val>
            <c:numRef>
              <c:f>Sheet1!$B$4:$C$4</c:f>
              <c:numCache>
                <c:formatCode>General</c:formatCode>
                <c:ptCount val="2"/>
                <c:pt idx="0">
                  <c:v>0</c:v>
                </c:pt>
                <c:pt idx="1">
                  <c:v>0</c:v>
                </c:pt>
              </c:numCache>
            </c:numRef>
          </c:val>
        </c:ser>
        <c:dLbls>
          <c:showLegendKey val="0"/>
          <c:showVal val="1"/>
          <c:showCatName val="0"/>
          <c:showSerName val="0"/>
          <c:showPercent val="0"/>
          <c:showBubbleSize val="0"/>
        </c:dLbls>
        <c:gapWidth val="150"/>
        <c:gapDepth val="0"/>
        <c:shape val="box"/>
        <c:axId val="41542784"/>
        <c:axId val="41544320"/>
        <c:axId val="0"/>
      </c:bar3DChart>
      <c:catAx>
        <c:axId val="4154278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200" b="1" i="0" u="none" strike="noStrike" baseline="0">
                <a:solidFill>
                  <a:srgbClr val="000000"/>
                </a:solidFill>
                <a:latin typeface="Arial Cyr"/>
                <a:ea typeface="Arial Cyr"/>
                <a:cs typeface="Arial Cyr"/>
              </a:defRPr>
            </a:pPr>
            <a:endParaRPr lang="ru-RU"/>
          </a:p>
        </c:txPr>
        <c:crossAx val="41544320"/>
        <c:crosses val="autoZero"/>
        <c:auto val="1"/>
        <c:lblAlgn val="ctr"/>
        <c:lblOffset val="100"/>
        <c:tickLblSkip val="1"/>
        <c:tickMarkSkip val="1"/>
        <c:noMultiLvlLbl val="0"/>
      </c:catAx>
      <c:valAx>
        <c:axId val="41544320"/>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200" b="1" i="0" u="none" strike="noStrike" baseline="0">
                <a:solidFill>
                  <a:srgbClr val="000000"/>
                </a:solidFill>
                <a:latin typeface="Arial Cyr"/>
                <a:ea typeface="Arial Cyr"/>
                <a:cs typeface="Arial Cyr"/>
              </a:defRPr>
            </a:pPr>
            <a:endParaRPr lang="ru-RU"/>
          </a:p>
        </c:txPr>
        <c:crossAx val="41542784"/>
        <c:crosses val="autoZero"/>
        <c:crossBetween val="between"/>
      </c:valAx>
      <c:spPr>
        <a:noFill/>
        <a:ln w="25400">
          <a:noFill/>
        </a:ln>
      </c:spPr>
    </c:plotArea>
    <c:legend>
      <c:legendPos val="b"/>
      <c:layout>
        <c:manualLayout>
          <c:xMode val="edge"/>
          <c:yMode val="edge"/>
          <c:x val="0.26175548589341691"/>
          <c:y val="0.90291262135922334"/>
          <c:w val="0.47492163009404387"/>
          <c:h val="8.7378640776699032E-2"/>
        </c:manualLayout>
      </c:layout>
      <c:overlay val="0"/>
      <c:spPr>
        <a:noFill/>
        <a:ln w="3175">
          <a:solidFill>
            <a:srgbClr val="000000"/>
          </a:solidFill>
          <a:prstDash val="solid"/>
        </a:ln>
      </c:spPr>
      <c:txPr>
        <a:bodyPr/>
        <a:lstStyle/>
        <a:p>
          <a:pPr>
            <a:defRPr sz="1100"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20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97" b="1" i="0" u="none" strike="noStrike" baseline="0">
                <a:solidFill>
                  <a:srgbClr val="000000"/>
                </a:solidFill>
                <a:latin typeface="Arial Cyr"/>
                <a:ea typeface="Arial Cyr"/>
                <a:cs typeface="Arial Cyr"/>
              </a:defRPr>
            </a:pPr>
            <a:r>
              <a:rPr lang="ru-RU"/>
              <a:t>Трудоустройство выпускников средней школы </a:t>
            </a:r>
          </a:p>
        </c:rich>
      </c:tx>
      <c:layout>
        <c:manualLayout>
          <c:xMode val="edge"/>
          <c:yMode val="edge"/>
          <c:x val="0.22769230769230769"/>
          <c:y val="1.9943019943019943E-2"/>
        </c:manualLayout>
      </c:layout>
      <c:overlay val="0"/>
      <c:spPr>
        <a:noFill/>
        <a:ln w="25323">
          <a:noFill/>
        </a:ln>
      </c:spPr>
    </c:title>
    <c:autoTitleDeleted val="0"/>
    <c:view3D>
      <c:rotX val="15"/>
      <c:hPercent val="40"/>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6.4615384615384616E-2"/>
          <c:y val="0.14814814814814814"/>
          <c:w val="0.92"/>
          <c:h val="0.60398860398860399"/>
        </c:manualLayout>
      </c:layout>
      <c:bar3DChart>
        <c:barDir val="col"/>
        <c:grouping val="clustered"/>
        <c:varyColors val="0"/>
        <c:ser>
          <c:idx val="0"/>
          <c:order val="0"/>
          <c:tx>
            <c:strRef>
              <c:f>Sheet1!$A$2</c:f>
              <c:strCache>
                <c:ptCount val="1"/>
                <c:pt idx="0">
                  <c:v>ВУЗы</c:v>
                </c:pt>
              </c:strCache>
            </c:strRef>
          </c:tx>
          <c:spPr>
            <a:solidFill>
              <a:srgbClr val="9999FF"/>
            </a:solidFill>
            <a:ln w="12662">
              <a:solidFill>
                <a:srgbClr val="000000"/>
              </a:solidFill>
              <a:prstDash val="solid"/>
            </a:ln>
          </c:spPr>
          <c:invertIfNegative val="0"/>
          <c:dLbls>
            <c:spPr>
              <a:noFill/>
              <a:ln w="25323">
                <a:noFill/>
              </a:ln>
            </c:spPr>
            <c:txPr>
              <a:bodyPr/>
              <a:lstStyle/>
              <a:p>
                <a:pPr>
                  <a:defRPr sz="1545"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strRef>
              <c:f>Sheet1!$B$1:$C$1</c:f>
              <c:strCache>
                <c:ptCount val="2"/>
                <c:pt idx="0">
                  <c:v>2011 - 2012</c:v>
                </c:pt>
                <c:pt idx="1">
                  <c:v>2012 - 2013 </c:v>
                </c:pt>
              </c:strCache>
            </c:strRef>
          </c:cat>
          <c:val>
            <c:numRef>
              <c:f>Sheet1!$B$2:$C$2</c:f>
              <c:numCache>
                <c:formatCode>General</c:formatCode>
                <c:ptCount val="2"/>
                <c:pt idx="0">
                  <c:v>64</c:v>
                </c:pt>
                <c:pt idx="1">
                  <c:v>56</c:v>
                </c:pt>
              </c:numCache>
            </c:numRef>
          </c:val>
        </c:ser>
        <c:ser>
          <c:idx val="1"/>
          <c:order val="1"/>
          <c:tx>
            <c:strRef>
              <c:f>Sheet1!$A$3</c:f>
              <c:strCache>
                <c:ptCount val="1"/>
                <c:pt idx="0">
                  <c:v>Колледжи</c:v>
                </c:pt>
              </c:strCache>
            </c:strRef>
          </c:tx>
          <c:spPr>
            <a:solidFill>
              <a:srgbClr val="993366"/>
            </a:solidFill>
            <a:ln w="12662">
              <a:solidFill>
                <a:srgbClr val="000000"/>
              </a:solidFill>
              <a:prstDash val="solid"/>
            </a:ln>
          </c:spPr>
          <c:invertIfNegative val="0"/>
          <c:dLbls>
            <c:spPr>
              <a:noFill/>
              <a:ln w="25323">
                <a:noFill/>
              </a:ln>
            </c:spPr>
            <c:txPr>
              <a:bodyPr/>
              <a:lstStyle/>
              <a:p>
                <a:pPr>
                  <a:defRPr sz="1545"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strRef>
              <c:f>Sheet1!$B$1:$C$1</c:f>
              <c:strCache>
                <c:ptCount val="2"/>
                <c:pt idx="0">
                  <c:v>2011 - 2012</c:v>
                </c:pt>
                <c:pt idx="1">
                  <c:v>2012 - 2013 </c:v>
                </c:pt>
              </c:strCache>
            </c:strRef>
          </c:cat>
          <c:val>
            <c:numRef>
              <c:f>Sheet1!$B$3:$C$3</c:f>
              <c:numCache>
                <c:formatCode>General</c:formatCode>
                <c:ptCount val="2"/>
                <c:pt idx="0">
                  <c:v>7</c:v>
                </c:pt>
                <c:pt idx="1">
                  <c:v>13</c:v>
                </c:pt>
              </c:numCache>
            </c:numRef>
          </c:val>
        </c:ser>
        <c:dLbls>
          <c:showLegendKey val="0"/>
          <c:showVal val="1"/>
          <c:showCatName val="0"/>
          <c:showSerName val="0"/>
          <c:showPercent val="0"/>
          <c:showBubbleSize val="0"/>
        </c:dLbls>
        <c:gapWidth val="150"/>
        <c:gapDepth val="0"/>
        <c:shape val="box"/>
        <c:axId val="40067840"/>
        <c:axId val="40069376"/>
        <c:axId val="0"/>
      </c:bar3DChart>
      <c:catAx>
        <c:axId val="40067840"/>
        <c:scaling>
          <c:orientation val="minMax"/>
        </c:scaling>
        <c:delete val="0"/>
        <c:axPos val="b"/>
        <c:numFmt formatCode="General" sourceLinked="1"/>
        <c:majorTickMark val="out"/>
        <c:minorTickMark val="none"/>
        <c:tickLblPos val="low"/>
        <c:spPr>
          <a:ln w="3165">
            <a:solidFill>
              <a:srgbClr val="000000"/>
            </a:solidFill>
            <a:prstDash val="solid"/>
          </a:ln>
        </c:spPr>
        <c:txPr>
          <a:bodyPr rot="0" vert="horz"/>
          <a:lstStyle/>
          <a:p>
            <a:pPr>
              <a:defRPr sz="1545" b="1" i="0" u="none" strike="noStrike" baseline="0">
                <a:solidFill>
                  <a:srgbClr val="000000"/>
                </a:solidFill>
                <a:latin typeface="Arial Cyr"/>
                <a:ea typeface="Arial Cyr"/>
                <a:cs typeface="Arial Cyr"/>
              </a:defRPr>
            </a:pPr>
            <a:endParaRPr lang="ru-RU"/>
          </a:p>
        </c:txPr>
        <c:crossAx val="40069376"/>
        <c:crosses val="autoZero"/>
        <c:auto val="1"/>
        <c:lblAlgn val="ctr"/>
        <c:lblOffset val="100"/>
        <c:tickLblSkip val="1"/>
        <c:tickMarkSkip val="1"/>
        <c:noMultiLvlLbl val="0"/>
      </c:catAx>
      <c:valAx>
        <c:axId val="40069376"/>
        <c:scaling>
          <c:orientation val="minMax"/>
        </c:scaling>
        <c:delete val="0"/>
        <c:axPos val="l"/>
        <c:majorGridlines>
          <c:spPr>
            <a:ln w="3165">
              <a:solidFill>
                <a:srgbClr val="000000"/>
              </a:solidFill>
              <a:prstDash val="solid"/>
            </a:ln>
          </c:spPr>
        </c:majorGridlines>
        <c:numFmt formatCode="General" sourceLinked="1"/>
        <c:majorTickMark val="out"/>
        <c:minorTickMark val="none"/>
        <c:tickLblPos val="nextTo"/>
        <c:spPr>
          <a:ln w="3165">
            <a:solidFill>
              <a:srgbClr val="000000"/>
            </a:solidFill>
            <a:prstDash val="solid"/>
          </a:ln>
        </c:spPr>
        <c:txPr>
          <a:bodyPr rot="0" vert="horz"/>
          <a:lstStyle/>
          <a:p>
            <a:pPr>
              <a:defRPr sz="1545" b="1" i="0" u="none" strike="noStrike" baseline="0">
                <a:solidFill>
                  <a:srgbClr val="000000"/>
                </a:solidFill>
                <a:latin typeface="Arial Cyr"/>
                <a:ea typeface="Arial Cyr"/>
                <a:cs typeface="Arial Cyr"/>
              </a:defRPr>
            </a:pPr>
            <a:endParaRPr lang="ru-RU"/>
          </a:p>
        </c:txPr>
        <c:crossAx val="40067840"/>
        <c:crosses val="autoZero"/>
        <c:crossBetween val="between"/>
      </c:valAx>
      <c:spPr>
        <a:noFill/>
        <a:ln w="25323">
          <a:noFill/>
        </a:ln>
      </c:spPr>
    </c:plotArea>
    <c:legend>
      <c:legendPos val="b"/>
      <c:layout>
        <c:manualLayout>
          <c:xMode val="edge"/>
          <c:yMode val="edge"/>
          <c:x val="0.32461538461538464"/>
          <c:y val="0.89743589743589747"/>
          <c:w val="0.34923076923076923"/>
          <c:h val="9.4017094017094016E-2"/>
        </c:manualLayout>
      </c:layout>
      <c:overlay val="0"/>
      <c:spPr>
        <a:noFill/>
        <a:ln w="3165">
          <a:solidFill>
            <a:srgbClr val="000000"/>
          </a:solidFill>
          <a:prstDash val="solid"/>
        </a:ln>
      </c:spPr>
      <c:txPr>
        <a:bodyPr/>
        <a:lstStyle/>
        <a:p>
          <a:pPr>
            <a:defRPr sz="1421"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545" b="1" i="0" u="none" strike="noStrike" baseline="0">
          <a:solidFill>
            <a:srgbClr val="000000"/>
          </a:solidFill>
          <a:latin typeface="Arial Cyr"/>
          <a:ea typeface="Arial Cyr"/>
          <a:cs typeface="Arial Cy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45</TotalTime>
  <Pages>10</Pages>
  <Words>3009</Words>
  <Characters>17152</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Савченко</dc:creator>
  <cp:lastModifiedBy>Савченко</cp:lastModifiedBy>
  <cp:revision>3</cp:revision>
  <cp:lastPrinted>2014-02-10T09:51:00Z</cp:lastPrinted>
  <dcterms:created xsi:type="dcterms:W3CDTF">2014-02-10T08:34:00Z</dcterms:created>
  <dcterms:modified xsi:type="dcterms:W3CDTF">2014-02-10T10:27:00Z</dcterms:modified>
</cp:coreProperties>
</file>